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15833" w:type="dxa"/>
        <w:tblInd w:w="-147" w:type="dxa"/>
        <w:tblLook w:val="04A0" w:firstRow="1" w:lastRow="0" w:firstColumn="1" w:lastColumn="0" w:noHBand="0" w:noVBand="1"/>
      </w:tblPr>
      <w:tblGrid>
        <w:gridCol w:w="12763"/>
        <w:gridCol w:w="3070"/>
      </w:tblGrid>
      <w:tr w:rsidR="00536674" w:rsidRPr="0081576E" w14:paraId="75BCE883" w14:textId="77777777" w:rsidTr="0A1870B3">
        <w:trPr>
          <w:trHeight w:val="907"/>
        </w:trPr>
        <w:tc>
          <w:tcPr>
            <w:tcW w:w="12763" w:type="dxa"/>
          </w:tcPr>
          <w:p w14:paraId="49CC37EF" w14:textId="4AD556DA" w:rsidR="00536674" w:rsidRPr="007A72DA" w:rsidRDefault="0081576E" w:rsidP="0A1870B3">
            <w:pPr>
              <w:pStyle w:val="Heading1"/>
              <w:spacing w:before="0" w:line="240" w:lineRule="auto"/>
              <w:rPr>
                <w:rFonts w:asciiTheme="minorHAnsi" w:hAnsiTheme="minorHAnsi" w:cstheme="minorBidi"/>
                <w:b/>
                <w:bCs/>
              </w:rPr>
            </w:pPr>
            <w:r w:rsidRPr="0A1870B3">
              <w:rPr>
                <w:rFonts w:asciiTheme="minorHAnsi" w:hAnsiTheme="minorHAnsi" w:cstheme="minorBidi"/>
                <w:b/>
                <w:bCs/>
                <w:sz w:val="56"/>
                <w:szCs w:val="56"/>
                <w:lang w:val="en-US"/>
              </w:rPr>
              <w:t xml:space="preserve">ASA Policy Priorities </w:t>
            </w:r>
            <w:r w:rsidR="00453A9A" w:rsidRPr="0A1870B3">
              <w:rPr>
                <w:rFonts w:asciiTheme="minorHAnsi" w:hAnsiTheme="minorHAnsi" w:cstheme="minorBidi"/>
                <w:b/>
                <w:bCs/>
                <w:sz w:val="56"/>
                <w:szCs w:val="56"/>
                <w:lang w:val="en-US"/>
              </w:rPr>
              <w:t>2024</w:t>
            </w:r>
            <w:r w:rsidR="3B413194" w:rsidRPr="0A1870B3">
              <w:rPr>
                <w:rFonts w:asciiTheme="minorHAnsi" w:hAnsiTheme="minorHAnsi" w:cstheme="minorBidi"/>
                <w:b/>
                <w:bCs/>
                <w:sz w:val="56"/>
                <w:szCs w:val="56"/>
                <w:lang w:val="en-US"/>
              </w:rPr>
              <w:t>/2025</w:t>
            </w:r>
          </w:p>
        </w:tc>
        <w:tc>
          <w:tcPr>
            <w:tcW w:w="3070" w:type="dxa"/>
          </w:tcPr>
          <w:p w14:paraId="3A8AB134" w14:textId="0271F2B5" w:rsidR="00536674" w:rsidRPr="0081576E" w:rsidRDefault="0081576E" w:rsidP="00D37B07">
            <w:pPr>
              <w:pStyle w:val="Subtitle"/>
              <w:tabs>
                <w:tab w:val="left" w:pos="2483"/>
              </w:tabs>
              <w:spacing w:before="0" w:after="0" w:line="240" w:lineRule="auto"/>
              <w:rPr>
                <w:rFonts w:cstheme="minorHAnsi"/>
                <w:lang w:val="en-US"/>
              </w:rPr>
            </w:pPr>
            <w:r w:rsidRPr="0081576E">
              <w:rPr>
                <w:rFonts w:cstheme="minorHAnsi"/>
              </w:rPr>
              <w:t> </w:t>
            </w:r>
            <w:r w:rsidRPr="0081576E">
              <w:rPr>
                <w:rStyle w:val="SubtleEmphasis"/>
                <w:rFonts w:cstheme="minorHAnsi"/>
                <w:b/>
                <w:bCs/>
                <w:i w:val="0"/>
                <w:iCs w:val="0"/>
                <w:noProof/>
              </w:rPr>
              <w:drawing>
                <wp:inline distT="0" distB="0" distL="0" distR="0" wp14:anchorId="66261605" wp14:editId="05AABF1A">
                  <wp:extent cx="1428750" cy="609600"/>
                  <wp:effectExtent l="0" t="0" r="0" b="0"/>
                  <wp:docPr id="860160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inline>
              </w:drawing>
            </w:r>
          </w:p>
        </w:tc>
      </w:tr>
      <w:tr w:rsidR="00536674" w:rsidRPr="0081576E" w14:paraId="20B9B4BE" w14:textId="77777777" w:rsidTr="0A1870B3">
        <w:trPr>
          <w:trHeight w:val="1508"/>
        </w:trPr>
        <w:tc>
          <w:tcPr>
            <w:tcW w:w="15833" w:type="dxa"/>
            <w:gridSpan w:val="2"/>
          </w:tcPr>
          <w:p w14:paraId="66F3ED34" w14:textId="7B651737" w:rsidR="00536674" w:rsidRPr="00F80632" w:rsidDel="00BE3E27" w:rsidRDefault="251DB27E" w:rsidP="0A1870B3">
            <w:pPr>
              <w:pStyle w:val="ListParagraph"/>
              <w:rPr>
                <w:rFonts w:ascii="Calibri" w:eastAsia="Calibri" w:hAnsi="Calibri" w:cs="Calibri"/>
                <w:lang w:val="en-US"/>
              </w:rPr>
            </w:pPr>
            <w:r w:rsidRPr="0A1870B3">
              <w:rPr>
                <w:rFonts w:ascii="Calibri" w:eastAsia="Calibri" w:hAnsi="Calibri" w:cs="Calibri"/>
                <w:b/>
                <w:bCs/>
                <w:lang w:val="en-US"/>
              </w:rPr>
              <w:t>Balancing risk and opportunity in accessible exchange-traded investments:</w:t>
            </w:r>
            <w:r w:rsidRPr="0A1870B3">
              <w:rPr>
                <w:rFonts w:ascii="Calibri" w:eastAsia="Calibri" w:hAnsi="Calibri" w:cs="Calibri"/>
                <w:lang w:val="en-US"/>
              </w:rPr>
              <w:t xml:space="preserve"> advocating for a well-regulated market that offers investment opportunities while safeguarding investors based on their risk tolerance and level of financial literacy.</w:t>
            </w:r>
          </w:p>
          <w:p w14:paraId="2626488E" w14:textId="31B2BB39" w:rsidR="00536674" w:rsidRPr="00F80632" w:rsidDel="00BE3E27" w:rsidRDefault="251DB27E" w:rsidP="0A1870B3">
            <w:pPr>
              <w:pStyle w:val="ListParagraph"/>
              <w:spacing w:before="0" w:after="0" w:line="257" w:lineRule="auto"/>
              <w:rPr>
                <w:rFonts w:ascii="Calibri" w:eastAsia="Calibri" w:hAnsi="Calibri" w:cs="Calibri"/>
                <w:lang w:val="en-US"/>
              </w:rPr>
            </w:pPr>
            <w:r w:rsidRPr="0A1870B3">
              <w:rPr>
                <w:rFonts w:ascii="Calibri" w:eastAsia="Calibri" w:hAnsi="Calibri" w:cs="Calibri"/>
                <w:b/>
                <w:bCs/>
                <w:lang w:val="en-US"/>
              </w:rPr>
              <w:t>Improving the governance of companies:</w:t>
            </w:r>
            <w:r w:rsidRPr="0A1870B3">
              <w:rPr>
                <w:rFonts w:ascii="Calibri" w:eastAsia="Calibri" w:hAnsi="Calibri" w:cs="Calibri"/>
                <w:lang w:val="en-US"/>
              </w:rPr>
              <w:t xml:space="preserve"> promoting practices within company boardrooms that lead to better decision-making and more informed shareholders. </w:t>
            </w:r>
          </w:p>
          <w:p w14:paraId="7EE73189" w14:textId="15A142BB" w:rsidR="00536674" w:rsidRPr="00F80632" w:rsidDel="00BE3E27" w:rsidRDefault="251DB27E" w:rsidP="0A1870B3">
            <w:pPr>
              <w:pStyle w:val="ListParagraph"/>
              <w:spacing w:before="0" w:after="0" w:line="257" w:lineRule="auto"/>
              <w:rPr>
                <w:rFonts w:ascii="Calibri" w:eastAsia="Calibri" w:hAnsi="Calibri" w:cs="Calibri"/>
                <w:lang w:val="en-US"/>
              </w:rPr>
            </w:pPr>
            <w:r w:rsidRPr="0A1870B3">
              <w:rPr>
                <w:rFonts w:ascii="Calibri" w:eastAsia="Calibri" w:hAnsi="Calibri" w:cs="Calibri"/>
                <w:b/>
                <w:bCs/>
                <w:lang w:val="en-US"/>
              </w:rPr>
              <w:t>Sustainable retirement incomes and superannuation:</w:t>
            </w:r>
            <w:r w:rsidRPr="0A1870B3">
              <w:rPr>
                <w:rFonts w:ascii="Calibri" w:eastAsia="Calibri" w:hAnsi="Calibri" w:cs="Calibri"/>
                <w:lang w:val="en-US"/>
              </w:rPr>
              <w:t xml:space="preserve"> well-considered, consistent policy frameworks that support investment for retirement. </w:t>
            </w:r>
          </w:p>
          <w:p w14:paraId="2B316342" w14:textId="3A308957" w:rsidR="00536674" w:rsidRPr="00F80632" w:rsidDel="00BE3E27" w:rsidRDefault="251DB27E" w:rsidP="0A1870B3">
            <w:pPr>
              <w:pStyle w:val="ListParagraph"/>
              <w:spacing w:before="0" w:after="0" w:line="257" w:lineRule="auto"/>
              <w:rPr>
                <w:rFonts w:ascii="Calibri" w:eastAsia="Calibri" w:hAnsi="Calibri" w:cs="Calibri"/>
                <w:lang w:val="en-US"/>
              </w:rPr>
            </w:pPr>
            <w:r w:rsidRPr="0A1870B3">
              <w:rPr>
                <w:rFonts w:ascii="Calibri" w:eastAsia="Calibri" w:hAnsi="Calibri" w:cs="Calibri"/>
                <w:b/>
                <w:bCs/>
                <w:lang w:val="en-US"/>
              </w:rPr>
              <w:t>Quality of and access to financial advice:</w:t>
            </w:r>
            <w:r w:rsidRPr="0A1870B3">
              <w:rPr>
                <w:rFonts w:ascii="Calibri" w:eastAsia="Calibri" w:hAnsi="Calibri" w:cs="Calibri"/>
                <w:lang w:val="en-US"/>
              </w:rPr>
              <w:t xml:space="preserve"> policies that support the provision of high-quality advice at a fair and appropriate fee, while effectively mitigating conflicts of interest.</w:t>
            </w:r>
          </w:p>
        </w:tc>
      </w:tr>
      <w:tr w:rsidR="00AF613E" w:rsidRPr="0081576E" w14:paraId="23B02CF6" w14:textId="77777777" w:rsidTr="0A1870B3">
        <w:trPr>
          <w:trHeight w:val="1190"/>
        </w:trPr>
        <w:tc>
          <w:tcPr>
            <w:tcW w:w="15833" w:type="dxa"/>
            <w:gridSpan w:val="2"/>
          </w:tcPr>
          <w:p w14:paraId="6007BB7A" w14:textId="77947433" w:rsidR="00F80632" w:rsidRPr="00F80632" w:rsidRDefault="00AF613E" w:rsidP="003B3FD8">
            <w:pPr>
              <w:pStyle w:val="Subtitle"/>
              <w:spacing w:before="120" w:after="0" w:line="240" w:lineRule="auto"/>
              <w:rPr>
                <w:rFonts w:cstheme="minorHAnsi"/>
                <w:color w:val="808080"/>
              </w:rPr>
            </w:pPr>
            <w:r w:rsidRPr="0081576E">
              <w:rPr>
                <w:rStyle w:val="SubtleEmphasis"/>
                <w:rFonts w:cstheme="minorHAnsi"/>
                <w:b/>
                <w:bCs/>
                <w:i w:val="0"/>
                <w:iCs w:val="0"/>
                <w:color w:val="auto"/>
              </w:rPr>
              <w:t>Alignment</w:t>
            </w:r>
            <w:r w:rsidR="0081576E" w:rsidRPr="0081576E">
              <w:rPr>
                <w:rStyle w:val="SubtleEmphasis"/>
                <w:rFonts w:cstheme="minorHAnsi"/>
                <w:b/>
                <w:bCs/>
                <w:i w:val="0"/>
                <w:iCs w:val="0"/>
                <w:color w:val="auto"/>
              </w:rPr>
              <w:t xml:space="preserve"> with ASA vision and purpose</w:t>
            </w:r>
            <w:r w:rsidRPr="0081576E">
              <w:rPr>
                <w:rStyle w:val="SubtleEmphasis"/>
                <w:rFonts w:cstheme="minorHAnsi"/>
                <w:i w:val="0"/>
                <w:iCs w:val="0"/>
              </w:rPr>
              <w:t xml:space="preserve"> – </w:t>
            </w:r>
            <w:r w:rsidR="0081576E" w:rsidRPr="00F5794A">
              <w:rPr>
                <w:rStyle w:val="PlaceholderText"/>
                <w:rFonts w:cstheme="minorHAnsi"/>
                <w:color w:val="808080" w:themeColor="background1" w:themeShade="80"/>
              </w:rPr>
              <w:t xml:space="preserve">ASA’s vision </w:t>
            </w:r>
            <w:r w:rsidR="0081576E" w:rsidRPr="0081576E">
              <w:rPr>
                <w:rStyle w:val="PlaceholderText"/>
                <w:rFonts w:cstheme="minorHAnsi"/>
              </w:rPr>
              <w:t>is to stand up for retail investors through educating and connecting members and influencing the investment environment, and our purpose is to stand up for retail investors through educating and connecting members and influencing the investment environment.</w:t>
            </w:r>
            <w:r w:rsidR="00F5794A">
              <w:rPr>
                <w:rStyle w:val="PlaceholderText"/>
                <w:rFonts w:cstheme="minorHAnsi"/>
              </w:rPr>
              <w:t xml:space="preserve"> By refining our focus on policy, we will better utilise our resources to represent and stand up for retail investors.</w:t>
            </w:r>
          </w:p>
        </w:tc>
      </w:tr>
      <w:tr w:rsidR="00AF613E" w:rsidRPr="0081576E" w14:paraId="425FC080" w14:textId="77777777" w:rsidTr="0A1870B3">
        <w:trPr>
          <w:trHeight w:val="1122"/>
        </w:trPr>
        <w:tc>
          <w:tcPr>
            <w:tcW w:w="15833" w:type="dxa"/>
            <w:gridSpan w:val="2"/>
          </w:tcPr>
          <w:p w14:paraId="38B99396" w14:textId="4B086EA5" w:rsidR="00AF613E" w:rsidRPr="0081576E" w:rsidRDefault="00AF613E" w:rsidP="003B3FD8">
            <w:pPr>
              <w:pStyle w:val="Subtitle"/>
              <w:spacing w:before="120" w:after="0" w:line="240" w:lineRule="auto"/>
              <w:rPr>
                <w:rFonts w:cstheme="minorHAnsi"/>
              </w:rPr>
            </w:pPr>
            <w:r w:rsidRPr="0081576E">
              <w:rPr>
                <w:rStyle w:val="SubtleEmphasis"/>
                <w:rFonts w:cstheme="minorHAnsi"/>
                <w:b/>
                <w:bCs/>
                <w:i w:val="0"/>
                <w:iCs w:val="0"/>
                <w:color w:val="auto"/>
              </w:rPr>
              <w:t>Policy Opportunity</w:t>
            </w:r>
            <w:r w:rsidRPr="0081576E">
              <w:rPr>
                <w:rStyle w:val="SubtleEmphasis"/>
                <w:rFonts w:cstheme="minorHAnsi"/>
                <w:i w:val="0"/>
                <w:iCs w:val="0"/>
              </w:rPr>
              <w:t xml:space="preserve"> – </w:t>
            </w:r>
            <w:r w:rsidR="0081576E">
              <w:rPr>
                <w:rStyle w:val="PlaceholderText"/>
              </w:rPr>
              <w:t xml:space="preserve">ASA is the link to the retail shareholder, a </w:t>
            </w:r>
            <w:r w:rsidR="00F5794A">
              <w:rPr>
                <w:rStyle w:val="PlaceholderText"/>
              </w:rPr>
              <w:t>diverse group of individuals with different needs and perspectives, who invest while</w:t>
            </w:r>
            <w:r w:rsidR="003A160C">
              <w:rPr>
                <w:rStyle w:val="PlaceholderText"/>
              </w:rPr>
              <w:t xml:space="preserve"> juggling competing</w:t>
            </w:r>
            <w:r w:rsidR="00F80632">
              <w:rPr>
                <w:rStyle w:val="PlaceholderText"/>
              </w:rPr>
              <w:t xml:space="preserve"> time</w:t>
            </w:r>
            <w:r w:rsidR="003A160C">
              <w:rPr>
                <w:rStyle w:val="PlaceholderText"/>
              </w:rPr>
              <w:t xml:space="preserve"> priorities</w:t>
            </w:r>
            <w:r w:rsidR="00F80632">
              <w:rPr>
                <w:rStyle w:val="PlaceholderText"/>
              </w:rPr>
              <w:t>.</w:t>
            </w:r>
            <w:r w:rsidR="003A160C">
              <w:rPr>
                <w:rStyle w:val="PlaceholderText"/>
              </w:rPr>
              <w:t xml:space="preserve"> </w:t>
            </w:r>
            <w:r w:rsidR="00F5794A">
              <w:rPr>
                <w:rStyle w:val="PlaceholderText"/>
              </w:rPr>
              <w:t xml:space="preserve"> ASA distils their views for other stakeholders (regulators, companies, legislators) and educates this broad church to come to better outcomes on complex financial and governance matters.</w:t>
            </w:r>
          </w:p>
        </w:tc>
      </w:tr>
      <w:tr w:rsidR="00AF613E" w:rsidRPr="0081576E" w14:paraId="3306EA67" w14:textId="77777777" w:rsidTr="0A1870B3">
        <w:trPr>
          <w:trHeight w:val="1619"/>
        </w:trPr>
        <w:tc>
          <w:tcPr>
            <w:tcW w:w="15833" w:type="dxa"/>
            <w:gridSpan w:val="2"/>
          </w:tcPr>
          <w:p w14:paraId="41E95C14" w14:textId="77777777" w:rsidR="00D73E5A" w:rsidRDefault="00AF613E" w:rsidP="003B3FD8">
            <w:pPr>
              <w:pStyle w:val="Subtitle"/>
              <w:spacing w:before="120" w:after="0" w:line="240" w:lineRule="auto"/>
              <w:rPr>
                <w:rStyle w:val="SubtleEmphasis"/>
                <w:rFonts w:cstheme="minorHAnsi"/>
                <w:i w:val="0"/>
                <w:iCs w:val="0"/>
              </w:rPr>
            </w:pPr>
            <w:r w:rsidRPr="0081576E">
              <w:rPr>
                <w:rStyle w:val="SubtleEmphasis"/>
                <w:rFonts w:cstheme="minorHAnsi"/>
                <w:b/>
                <w:bCs/>
                <w:i w:val="0"/>
                <w:iCs w:val="0"/>
                <w:color w:val="auto"/>
              </w:rPr>
              <w:t xml:space="preserve">Outcomes </w:t>
            </w:r>
            <w:r w:rsidRPr="0081576E">
              <w:rPr>
                <w:rStyle w:val="SubtleEmphasis"/>
                <w:rFonts w:cstheme="minorHAnsi"/>
                <w:i w:val="0"/>
                <w:iCs w:val="0"/>
              </w:rPr>
              <w:t xml:space="preserve">– </w:t>
            </w:r>
          </w:p>
          <w:p w14:paraId="2FA28FB4" w14:textId="77777777" w:rsidR="00D73E5A" w:rsidRPr="00D73E5A" w:rsidRDefault="00D73E5A" w:rsidP="00D73E5A">
            <w:pPr>
              <w:pStyle w:val="Subtitle"/>
              <w:numPr>
                <w:ilvl w:val="0"/>
                <w:numId w:val="25"/>
              </w:numPr>
              <w:spacing w:before="0" w:after="0" w:line="240" w:lineRule="auto"/>
              <w:rPr>
                <w:rStyle w:val="PlaceholderText"/>
                <w:rFonts w:cstheme="minorHAnsi"/>
              </w:rPr>
            </w:pPr>
            <w:r>
              <w:rPr>
                <w:rStyle w:val="PlaceholderText"/>
              </w:rPr>
              <w:t>Shape debate with c</w:t>
            </w:r>
            <w:r w:rsidR="00F77391">
              <w:rPr>
                <w:rStyle w:val="PlaceholderText"/>
              </w:rPr>
              <w:t>learer c</w:t>
            </w:r>
            <w:r w:rsidR="00F77391" w:rsidRPr="00F77391">
              <w:rPr>
                <w:rStyle w:val="PlaceholderText"/>
              </w:rPr>
              <w:t>ommunication</w:t>
            </w:r>
            <w:r w:rsidR="00F77391">
              <w:rPr>
                <w:rStyle w:val="PlaceholderText"/>
              </w:rPr>
              <w:t xml:space="preserve"> of ASA policy to influence the development of future </w:t>
            </w:r>
            <w:proofErr w:type="gramStart"/>
            <w:r w:rsidR="00F77391">
              <w:rPr>
                <w:rStyle w:val="PlaceholderText"/>
              </w:rPr>
              <w:t>policy</w:t>
            </w:r>
            <w:r>
              <w:rPr>
                <w:rStyle w:val="PlaceholderText"/>
              </w:rPr>
              <w:t>;</w:t>
            </w:r>
            <w:proofErr w:type="gramEnd"/>
          </w:p>
          <w:p w14:paraId="2F0E0C40" w14:textId="77777777" w:rsidR="00D73E5A" w:rsidRPr="00D73E5A" w:rsidRDefault="00D73E5A" w:rsidP="00D73E5A">
            <w:pPr>
              <w:pStyle w:val="Subtitle"/>
              <w:numPr>
                <w:ilvl w:val="0"/>
                <w:numId w:val="25"/>
              </w:numPr>
              <w:spacing w:before="0" w:after="0" w:line="240" w:lineRule="auto"/>
              <w:rPr>
                <w:rStyle w:val="PlaceholderText"/>
                <w:rFonts w:cstheme="minorHAnsi"/>
              </w:rPr>
            </w:pPr>
            <w:r>
              <w:rPr>
                <w:rStyle w:val="PlaceholderText"/>
              </w:rPr>
              <w:t>E</w:t>
            </w:r>
            <w:r w:rsidR="00F77391">
              <w:rPr>
                <w:rStyle w:val="PlaceholderText"/>
              </w:rPr>
              <w:t xml:space="preserve">ngage with retail investors on what matters to </w:t>
            </w:r>
            <w:proofErr w:type="gramStart"/>
            <w:r w:rsidR="00F77391">
              <w:rPr>
                <w:rStyle w:val="PlaceholderText"/>
              </w:rPr>
              <w:t>them</w:t>
            </w:r>
            <w:r>
              <w:rPr>
                <w:rStyle w:val="PlaceholderText"/>
              </w:rPr>
              <w:t>;</w:t>
            </w:r>
            <w:proofErr w:type="gramEnd"/>
          </w:p>
          <w:p w14:paraId="093AAA20" w14:textId="750F8AE4" w:rsidR="00F07DE7" w:rsidRPr="00F07DE7" w:rsidRDefault="00D73E5A" w:rsidP="00D73E5A">
            <w:pPr>
              <w:pStyle w:val="Subtitle"/>
              <w:numPr>
                <w:ilvl w:val="0"/>
                <w:numId w:val="25"/>
              </w:numPr>
              <w:spacing w:before="0" w:after="0" w:line="240" w:lineRule="auto"/>
              <w:rPr>
                <w:rStyle w:val="PlaceholderText"/>
                <w:rFonts w:cstheme="minorHAnsi"/>
              </w:rPr>
            </w:pPr>
            <w:r>
              <w:rPr>
                <w:rStyle w:val="PlaceholderText"/>
              </w:rPr>
              <w:t xml:space="preserve">Educate </w:t>
            </w:r>
            <w:r w:rsidR="00F07DE7">
              <w:rPr>
                <w:rStyle w:val="PlaceholderText"/>
              </w:rPr>
              <w:t xml:space="preserve">stakeholders </w:t>
            </w:r>
            <w:r>
              <w:rPr>
                <w:rStyle w:val="PlaceholderText"/>
              </w:rPr>
              <w:t>on the importance of Australia’s 7.7m investor</w:t>
            </w:r>
            <w:r w:rsidR="00F07DE7">
              <w:rPr>
                <w:rStyle w:val="PlaceholderText"/>
              </w:rPr>
              <w:t>s</w:t>
            </w:r>
            <w:r>
              <w:rPr>
                <w:rStyle w:val="PlaceholderText"/>
              </w:rPr>
              <w:t xml:space="preserve"> to</w:t>
            </w:r>
            <w:r w:rsidR="00F07DE7">
              <w:rPr>
                <w:rStyle w:val="PlaceholderText"/>
              </w:rPr>
              <w:t xml:space="preserve"> financial markets operation and confidence</w:t>
            </w:r>
            <w:r w:rsidR="00F80632">
              <w:rPr>
                <w:rStyle w:val="PlaceholderText"/>
              </w:rPr>
              <w:t>; and</w:t>
            </w:r>
          </w:p>
          <w:p w14:paraId="095321B6" w14:textId="70504D07" w:rsidR="00D73E5A" w:rsidRPr="00D73E5A" w:rsidRDefault="00F07DE7" w:rsidP="00D73E5A">
            <w:pPr>
              <w:pStyle w:val="Subtitle"/>
              <w:numPr>
                <w:ilvl w:val="0"/>
                <w:numId w:val="25"/>
              </w:numPr>
              <w:spacing w:before="0" w:after="0" w:line="240" w:lineRule="auto"/>
              <w:rPr>
                <w:rStyle w:val="PlaceholderText"/>
                <w:rFonts w:cstheme="minorHAnsi"/>
              </w:rPr>
            </w:pPr>
            <w:r>
              <w:rPr>
                <w:rStyle w:val="PlaceholderText"/>
              </w:rPr>
              <w:t>Educate retail investors on</w:t>
            </w:r>
            <w:r w:rsidR="00D73E5A">
              <w:rPr>
                <w:rStyle w:val="PlaceholderText"/>
              </w:rPr>
              <w:t xml:space="preserve"> </w:t>
            </w:r>
            <w:r>
              <w:rPr>
                <w:rStyle w:val="PlaceholderText"/>
              </w:rPr>
              <w:t xml:space="preserve">and contribute to development of better </w:t>
            </w:r>
            <w:r w:rsidR="00F77391">
              <w:rPr>
                <w:rStyle w:val="PlaceholderText"/>
              </w:rPr>
              <w:t>governance trends and leading practice</w:t>
            </w:r>
            <w:r w:rsidR="00F80632">
              <w:rPr>
                <w:rStyle w:val="PlaceholderText"/>
              </w:rPr>
              <w:t>.</w:t>
            </w:r>
          </w:p>
          <w:p w14:paraId="46B1EE11" w14:textId="69DE9873" w:rsidR="00AF613E" w:rsidRPr="0081576E" w:rsidRDefault="00AF613E" w:rsidP="00F80632">
            <w:pPr>
              <w:pStyle w:val="Subtitle"/>
              <w:numPr>
                <w:ilvl w:val="0"/>
                <w:numId w:val="0"/>
              </w:numPr>
              <w:spacing w:before="0" w:after="0" w:line="240" w:lineRule="auto"/>
              <w:ind w:left="360"/>
              <w:rPr>
                <w:rFonts w:cstheme="minorHAnsi"/>
              </w:rPr>
            </w:pPr>
          </w:p>
        </w:tc>
      </w:tr>
      <w:tr w:rsidR="00AF613E" w:rsidRPr="0081576E" w14:paraId="0E11BBFF" w14:textId="77777777" w:rsidTr="0A1870B3">
        <w:trPr>
          <w:trHeight w:val="847"/>
        </w:trPr>
        <w:tc>
          <w:tcPr>
            <w:tcW w:w="15833" w:type="dxa"/>
            <w:gridSpan w:val="2"/>
          </w:tcPr>
          <w:p w14:paraId="1927270C" w14:textId="569A92E9" w:rsidR="00AF613E" w:rsidRPr="0081576E" w:rsidRDefault="003A4824" w:rsidP="003B3FD8">
            <w:pPr>
              <w:pStyle w:val="Subtitle"/>
              <w:spacing w:before="120" w:after="0" w:line="240" w:lineRule="auto"/>
              <w:rPr>
                <w:rStyle w:val="PlaceholderText"/>
                <w:rFonts w:cstheme="minorHAnsi"/>
              </w:rPr>
            </w:pPr>
            <w:r w:rsidRPr="0081576E">
              <w:rPr>
                <w:rStyle w:val="SubtleEmphasis"/>
                <w:rFonts w:cstheme="minorHAnsi"/>
                <w:b/>
                <w:i w:val="0"/>
                <w:color w:val="auto"/>
              </w:rPr>
              <w:t xml:space="preserve">Key collaborators </w:t>
            </w:r>
            <w:r w:rsidRPr="0081576E">
              <w:rPr>
                <w:rStyle w:val="PlaceholderText"/>
                <w:rFonts w:cstheme="minorHAnsi"/>
              </w:rPr>
              <w:t xml:space="preserve">– </w:t>
            </w:r>
            <w:r w:rsidR="004C56EC">
              <w:rPr>
                <w:rStyle w:val="PlaceholderText"/>
              </w:rPr>
              <w:t>ASA members</w:t>
            </w:r>
            <w:r w:rsidR="004C56EC">
              <w:rPr>
                <w:rStyle w:val="PlaceholderText"/>
              </w:rPr>
              <w:t>, r</w:t>
            </w:r>
            <w:r w:rsidR="00F5794A">
              <w:rPr>
                <w:rStyle w:val="PlaceholderText"/>
              </w:rPr>
              <w:t>egulators (ASIC, APRA), ASX listed companies, legislators (Treasury, Senators</w:t>
            </w:r>
            <w:r w:rsidR="0034619B">
              <w:rPr>
                <w:rStyle w:val="PlaceholderText"/>
              </w:rPr>
              <w:t>,</w:t>
            </w:r>
            <w:r w:rsidR="00F5794A">
              <w:rPr>
                <w:rStyle w:val="PlaceholderText"/>
              </w:rPr>
              <w:t xml:space="preserve"> and Minsters of Parliament), other stakeholders with similar interests (AICD, ACSI, AIRA, Governance </w:t>
            </w:r>
            <w:r w:rsidR="0053727B">
              <w:rPr>
                <w:rStyle w:val="PlaceholderText"/>
              </w:rPr>
              <w:t>I</w:t>
            </w:r>
            <w:r w:rsidR="00F5794A">
              <w:rPr>
                <w:rStyle w:val="PlaceholderText"/>
              </w:rPr>
              <w:t>nstitute of Australia etc)</w:t>
            </w:r>
            <w:r w:rsidR="00F80632">
              <w:rPr>
                <w:rStyle w:val="PlaceholderText"/>
              </w:rPr>
              <w:t>.</w:t>
            </w:r>
          </w:p>
        </w:tc>
      </w:tr>
      <w:tr w:rsidR="00F77391" w:rsidRPr="0081576E" w14:paraId="75714E30" w14:textId="77777777" w:rsidTr="0A1870B3">
        <w:trPr>
          <w:trHeight w:val="689"/>
        </w:trPr>
        <w:tc>
          <w:tcPr>
            <w:tcW w:w="15833" w:type="dxa"/>
            <w:gridSpan w:val="2"/>
          </w:tcPr>
          <w:p w14:paraId="2A6B6793" w14:textId="53A7FDA7" w:rsidR="00F77391" w:rsidRPr="0081576E" w:rsidRDefault="00F77391" w:rsidP="003B3FD8">
            <w:pPr>
              <w:pStyle w:val="Subtitle"/>
              <w:spacing w:before="120" w:after="0" w:line="240" w:lineRule="auto"/>
              <w:rPr>
                <w:rStyle w:val="SubtleEmphasis"/>
                <w:rFonts w:cstheme="minorHAnsi"/>
                <w:b/>
                <w:i w:val="0"/>
                <w:color w:val="auto"/>
              </w:rPr>
            </w:pPr>
            <w:r>
              <w:rPr>
                <w:rStyle w:val="SubtleEmphasis"/>
                <w:rFonts w:cstheme="minorHAnsi"/>
                <w:b/>
                <w:i w:val="0"/>
                <w:color w:val="auto"/>
              </w:rPr>
              <w:t xml:space="preserve">Review </w:t>
            </w:r>
            <w:r w:rsidRPr="0081576E">
              <w:rPr>
                <w:rStyle w:val="PlaceholderText"/>
                <w:rFonts w:cstheme="minorHAnsi"/>
              </w:rPr>
              <w:t xml:space="preserve">– </w:t>
            </w:r>
            <w:r>
              <w:rPr>
                <w:rStyle w:val="PlaceholderText"/>
                <w:rFonts w:cstheme="minorHAnsi"/>
              </w:rPr>
              <w:t>A</w:t>
            </w:r>
            <w:r>
              <w:rPr>
                <w:rStyle w:val="PlaceholderText"/>
              </w:rPr>
              <w:t xml:space="preserve">nnual assessment of progress against the Policy Priorities and determination of the focus for the following </w:t>
            </w:r>
            <w:r w:rsidR="003A160C">
              <w:rPr>
                <w:rStyle w:val="PlaceholderText"/>
              </w:rPr>
              <w:t xml:space="preserve">financial </w:t>
            </w:r>
            <w:r>
              <w:rPr>
                <w:rStyle w:val="PlaceholderText"/>
              </w:rPr>
              <w:t>year</w:t>
            </w:r>
            <w:r w:rsidR="0034619B">
              <w:rPr>
                <w:rStyle w:val="PlaceholderText"/>
              </w:rPr>
              <w:t xml:space="preserve"> in </w:t>
            </w:r>
            <w:r w:rsidR="003A160C">
              <w:rPr>
                <w:rStyle w:val="PlaceholderText"/>
              </w:rPr>
              <w:t>March/April</w:t>
            </w:r>
            <w:r w:rsidR="0034619B">
              <w:rPr>
                <w:rStyle w:val="PlaceholderText"/>
              </w:rPr>
              <w:t xml:space="preserve"> each year.</w:t>
            </w:r>
          </w:p>
        </w:tc>
      </w:tr>
    </w:tbl>
    <w:p w14:paraId="5965E7CC" w14:textId="77777777" w:rsidR="00EB4B0E" w:rsidRPr="0081576E" w:rsidRDefault="00EB4B0E" w:rsidP="007D042D">
      <w:pPr>
        <w:spacing w:before="0" w:after="0" w:line="240" w:lineRule="auto"/>
        <w:rPr>
          <w:rFonts w:asciiTheme="minorHAnsi" w:hAnsiTheme="minorHAnsi" w:cstheme="minorHAnsi"/>
          <w:lang w:val="en-US"/>
        </w:rPr>
      </w:pPr>
    </w:p>
    <w:sectPr w:rsidR="00EB4B0E" w:rsidRPr="0081576E" w:rsidSect="007A3C43">
      <w:headerReference w:type="first" r:id="rId12"/>
      <w:footerReference w:type="first" r:id="rId13"/>
      <w:pgSz w:w="16838" w:h="11906" w:orient="landscape"/>
      <w:pgMar w:top="567" w:right="567" w:bottom="567"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8A27" w14:textId="77777777" w:rsidR="007A3C43" w:rsidRDefault="007A3C43" w:rsidP="007240FE">
      <w:pPr>
        <w:spacing w:before="0" w:after="0" w:line="240" w:lineRule="auto"/>
      </w:pPr>
      <w:r>
        <w:separator/>
      </w:r>
    </w:p>
  </w:endnote>
  <w:endnote w:type="continuationSeparator" w:id="0">
    <w:p w14:paraId="3A2ACD64" w14:textId="77777777" w:rsidR="007A3C43" w:rsidRDefault="007A3C43" w:rsidP="007240FE">
      <w:pPr>
        <w:spacing w:before="0" w:after="0" w:line="240" w:lineRule="auto"/>
      </w:pPr>
      <w:r>
        <w:continuationSeparator/>
      </w:r>
    </w:p>
  </w:endnote>
  <w:endnote w:type="continuationNotice" w:id="1">
    <w:p w14:paraId="4E974E67" w14:textId="77777777" w:rsidR="007A3C43" w:rsidRDefault="007A3C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26AE" w14:textId="77777777" w:rsidR="0068166B" w:rsidRPr="0040412F" w:rsidRDefault="0068166B" w:rsidP="00696900">
    <w:pPr>
      <w:pStyle w:val="Footer"/>
      <w:spacing w:before="0"/>
      <w:rPr>
        <w:lang w:val="en-US"/>
      </w:rPr>
    </w:pPr>
    <w:r>
      <w:rPr>
        <w:noProof/>
        <w:lang w:eastAsia="en-AU"/>
      </w:rPr>
      <mc:AlternateContent>
        <mc:Choice Requires="wpg">
          <w:drawing>
            <wp:anchor distT="0" distB="0" distL="114300" distR="114300" simplePos="0" relativeHeight="251658240" behindDoc="0" locked="0" layoutInCell="1" allowOverlap="1" wp14:anchorId="4DD5AF38" wp14:editId="19AFCD70">
              <wp:simplePos x="0" y="0"/>
              <wp:positionH relativeFrom="margin">
                <wp:posOffset>-521335</wp:posOffset>
              </wp:positionH>
              <wp:positionV relativeFrom="paragraph">
                <wp:posOffset>183515</wp:posOffset>
              </wp:positionV>
              <wp:extent cx="10810875" cy="304800"/>
              <wp:effectExtent l="0" t="0" r="9525" b="0"/>
              <wp:wrapNone/>
              <wp:docPr id="1" name="Group 1"/>
              <wp:cNvGraphicFramePr/>
              <a:graphic xmlns:a="http://schemas.openxmlformats.org/drawingml/2006/main">
                <a:graphicData uri="http://schemas.microsoft.com/office/word/2010/wordprocessingGroup">
                  <wpg:wgp>
                    <wpg:cNvGrpSpPr/>
                    <wpg:grpSpPr>
                      <a:xfrm>
                        <a:off x="0" y="0"/>
                        <a:ext cx="10810875" cy="304800"/>
                        <a:chOff x="0" y="0"/>
                        <a:chExt cx="10810875" cy="304800"/>
                      </a:xfrm>
                    </wpg:grpSpPr>
                    <wps:wsp>
                      <wps:cNvPr id="4" name="Rectangle 4"/>
                      <wps:cNvSpPr/>
                      <wps:spPr>
                        <a:xfrm>
                          <a:off x="0" y="0"/>
                          <a:ext cx="107823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9029700" y="38100"/>
                          <a:ext cx="1781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91037" w14:textId="77777777" w:rsidR="0068166B" w:rsidRPr="00696900" w:rsidRDefault="0068166B" w:rsidP="00696900">
                            <w:pPr>
                              <w:spacing w:before="0" w:after="0" w:line="240" w:lineRule="auto"/>
                              <w:rPr>
                                <w:b/>
                                <w:color w:val="FFFFFF" w:themeColor="background1"/>
                                <w:lang w:val="en-US"/>
                              </w:rPr>
                            </w:pPr>
                            <w:r>
                              <w:rPr>
                                <w:b/>
                                <w:color w:val="FFFFFF" w:themeColor="background1"/>
                                <w:lang w:val="en-US"/>
                              </w:rPr>
                              <w:t>i</w:t>
                            </w:r>
                            <w:r w:rsidRPr="00696900">
                              <w:rPr>
                                <w:b/>
                                <w:color w:val="FFFFFF" w:themeColor="background1"/>
                                <w:lang w:val="en-US"/>
                              </w:rPr>
                              <w:t>ndustry.gov.au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v:group id="Group 1" style="position:absolute;margin-left:-41.05pt;margin-top:14.45pt;width:851.25pt;height:24pt;z-index:251658240;mso-position-horizontal-relative:margin" coordsize="108108,3048" o:spid="_x0000_s1026" w14:anchorId="4DD5A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">
              <v:rect id="Rectangle 4" style="position:absolute;width:107823;height:2667;visibility:visible;mso-wrap-style:square;v-text-anchor:middle" o:spid="_x0000_s1027" fillcolor="#005677 [3204]" strokecolor="#002a3b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v:shapetype id="_x0000_t202" coordsize="21600,21600" o:spt="202" path="m,l,21600r21600,l21600,xe">
                <v:stroke joinstyle="miter"/>
                <v:path gradientshapeok="t" o:connecttype="rect"/>
              </v:shapetype>
              <v:shape id="Text Box 5" style="position:absolute;left:90297;top:381;width:17811;height:2667;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v:textbox>
                  <w:txbxContent>
                    <w:p w:rsidRPr="00696900" w:rsidR="0068166B" w:rsidP="00696900" w:rsidRDefault="0068166B" w14:paraId="08691037" w14:textId="77777777">
                      <w:pPr>
                        <w:spacing w:before="0" w:after="0" w:line="240" w:lineRule="auto"/>
                        <w:rPr>
                          <w:b/>
                          <w:color w:val="FFFFFF" w:themeColor="background1"/>
                          <w:lang w:val="en-US"/>
                        </w:rPr>
                      </w:pPr>
                      <w:r>
                        <w:rPr>
                          <w:b/>
                          <w:color w:val="FFFFFF" w:themeColor="background1"/>
                          <w:lang w:val="en-US"/>
                        </w:rPr>
                        <w:t>i</w:t>
                      </w:r>
                      <w:r w:rsidRPr="00696900">
                        <w:rPr>
                          <w:b/>
                          <w:color w:val="FFFFFF" w:themeColor="background1"/>
                          <w:lang w:val="en-US"/>
                        </w:rPr>
                        <w:t>ndustry.gov.au</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19953" w14:textId="77777777" w:rsidR="007A3C43" w:rsidRDefault="007A3C43" w:rsidP="007240FE">
      <w:pPr>
        <w:spacing w:before="0" w:after="0" w:line="240" w:lineRule="auto"/>
      </w:pPr>
      <w:r>
        <w:separator/>
      </w:r>
    </w:p>
  </w:footnote>
  <w:footnote w:type="continuationSeparator" w:id="0">
    <w:p w14:paraId="4D0E794A" w14:textId="77777777" w:rsidR="007A3C43" w:rsidRDefault="007A3C43" w:rsidP="007240FE">
      <w:pPr>
        <w:spacing w:before="0" w:after="0" w:line="240" w:lineRule="auto"/>
      </w:pPr>
      <w:r>
        <w:continuationSeparator/>
      </w:r>
    </w:p>
  </w:footnote>
  <w:footnote w:type="continuationNotice" w:id="1">
    <w:p w14:paraId="7A5FF705" w14:textId="77777777" w:rsidR="007A3C43" w:rsidRDefault="007A3C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D111D" w14:textId="77777777" w:rsidR="0068166B" w:rsidRDefault="0068166B" w:rsidP="0040412F">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1F8E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E82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44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A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BA9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05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5C5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F2D2F078"/>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01F31442"/>
    <w:multiLevelType w:val="hybridMultilevel"/>
    <w:tmpl w:val="54A805CA"/>
    <w:lvl w:ilvl="0" w:tplc="5192DFA4">
      <w:start w:val="4"/>
      <w:numFmt w:val="decimal"/>
      <w:lvlText w:val="%1."/>
      <w:lvlJc w:val="left"/>
      <w:pPr>
        <w:ind w:left="720" w:hanging="360"/>
      </w:pPr>
    </w:lvl>
    <w:lvl w:ilvl="1" w:tplc="1DBC0048">
      <w:start w:val="1"/>
      <w:numFmt w:val="lowerLetter"/>
      <w:lvlText w:val="%2."/>
      <w:lvlJc w:val="left"/>
      <w:pPr>
        <w:ind w:left="1440" w:hanging="360"/>
      </w:pPr>
    </w:lvl>
    <w:lvl w:ilvl="2" w:tplc="222AEFA8">
      <w:start w:val="1"/>
      <w:numFmt w:val="lowerRoman"/>
      <w:lvlText w:val="%3."/>
      <w:lvlJc w:val="right"/>
      <w:pPr>
        <w:ind w:left="2160" w:hanging="180"/>
      </w:pPr>
    </w:lvl>
    <w:lvl w:ilvl="3" w:tplc="7FE60082">
      <w:start w:val="1"/>
      <w:numFmt w:val="decimal"/>
      <w:lvlText w:val="%4."/>
      <w:lvlJc w:val="left"/>
      <w:pPr>
        <w:ind w:left="2880" w:hanging="360"/>
      </w:pPr>
    </w:lvl>
    <w:lvl w:ilvl="4" w:tplc="CBCE4A88">
      <w:start w:val="1"/>
      <w:numFmt w:val="lowerLetter"/>
      <w:lvlText w:val="%5."/>
      <w:lvlJc w:val="left"/>
      <w:pPr>
        <w:ind w:left="3600" w:hanging="360"/>
      </w:pPr>
    </w:lvl>
    <w:lvl w:ilvl="5" w:tplc="99DE75F2">
      <w:start w:val="1"/>
      <w:numFmt w:val="lowerRoman"/>
      <w:lvlText w:val="%6."/>
      <w:lvlJc w:val="right"/>
      <w:pPr>
        <w:ind w:left="4320" w:hanging="180"/>
      </w:pPr>
    </w:lvl>
    <w:lvl w:ilvl="6" w:tplc="3D78B0DC">
      <w:start w:val="1"/>
      <w:numFmt w:val="decimal"/>
      <w:lvlText w:val="%7."/>
      <w:lvlJc w:val="left"/>
      <w:pPr>
        <w:ind w:left="5040" w:hanging="360"/>
      </w:pPr>
    </w:lvl>
    <w:lvl w:ilvl="7" w:tplc="56487F12">
      <w:start w:val="1"/>
      <w:numFmt w:val="lowerLetter"/>
      <w:lvlText w:val="%8."/>
      <w:lvlJc w:val="left"/>
      <w:pPr>
        <w:ind w:left="5760" w:hanging="360"/>
      </w:pPr>
    </w:lvl>
    <w:lvl w:ilvl="8" w:tplc="76168EFA">
      <w:start w:val="1"/>
      <w:numFmt w:val="lowerRoman"/>
      <w:lvlText w:val="%9."/>
      <w:lvlJc w:val="right"/>
      <w:pPr>
        <w:ind w:left="6480" w:hanging="180"/>
      </w:pPr>
    </w:lvl>
  </w:abstractNum>
  <w:abstractNum w:abstractNumId="11"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7CBCAC"/>
    <w:multiLevelType w:val="hybridMultilevel"/>
    <w:tmpl w:val="DCF09112"/>
    <w:lvl w:ilvl="0" w:tplc="EF984D50">
      <w:start w:val="2"/>
      <w:numFmt w:val="decimal"/>
      <w:lvlText w:val="%1."/>
      <w:lvlJc w:val="left"/>
      <w:pPr>
        <w:ind w:left="720" w:hanging="360"/>
      </w:pPr>
    </w:lvl>
    <w:lvl w:ilvl="1" w:tplc="8786C7A2">
      <w:start w:val="1"/>
      <w:numFmt w:val="lowerLetter"/>
      <w:lvlText w:val="%2."/>
      <w:lvlJc w:val="left"/>
      <w:pPr>
        <w:ind w:left="1440" w:hanging="360"/>
      </w:pPr>
    </w:lvl>
    <w:lvl w:ilvl="2" w:tplc="28CCA6DC">
      <w:start w:val="1"/>
      <w:numFmt w:val="lowerRoman"/>
      <w:lvlText w:val="%3."/>
      <w:lvlJc w:val="right"/>
      <w:pPr>
        <w:ind w:left="2160" w:hanging="180"/>
      </w:pPr>
    </w:lvl>
    <w:lvl w:ilvl="3" w:tplc="C6DECBB8">
      <w:start w:val="1"/>
      <w:numFmt w:val="decimal"/>
      <w:lvlText w:val="%4."/>
      <w:lvlJc w:val="left"/>
      <w:pPr>
        <w:ind w:left="2880" w:hanging="360"/>
      </w:pPr>
    </w:lvl>
    <w:lvl w:ilvl="4" w:tplc="C9403AB0">
      <w:start w:val="1"/>
      <w:numFmt w:val="lowerLetter"/>
      <w:lvlText w:val="%5."/>
      <w:lvlJc w:val="left"/>
      <w:pPr>
        <w:ind w:left="3600" w:hanging="360"/>
      </w:pPr>
    </w:lvl>
    <w:lvl w:ilvl="5" w:tplc="EEAE1DC4">
      <w:start w:val="1"/>
      <w:numFmt w:val="lowerRoman"/>
      <w:lvlText w:val="%6."/>
      <w:lvlJc w:val="right"/>
      <w:pPr>
        <w:ind w:left="4320" w:hanging="180"/>
      </w:pPr>
    </w:lvl>
    <w:lvl w:ilvl="6" w:tplc="6DF605B2">
      <w:start w:val="1"/>
      <w:numFmt w:val="decimal"/>
      <w:lvlText w:val="%7."/>
      <w:lvlJc w:val="left"/>
      <w:pPr>
        <w:ind w:left="5040" w:hanging="360"/>
      </w:pPr>
    </w:lvl>
    <w:lvl w:ilvl="7" w:tplc="F588184E">
      <w:start w:val="1"/>
      <w:numFmt w:val="lowerLetter"/>
      <w:lvlText w:val="%8."/>
      <w:lvlJc w:val="left"/>
      <w:pPr>
        <w:ind w:left="5760" w:hanging="360"/>
      </w:pPr>
    </w:lvl>
    <w:lvl w:ilvl="8" w:tplc="C958F3B8">
      <w:start w:val="1"/>
      <w:numFmt w:val="lowerRoman"/>
      <w:lvlText w:val="%9."/>
      <w:lvlJc w:val="right"/>
      <w:pPr>
        <w:ind w:left="6480" w:hanging="180"/>
      </w:pPr>
    </w:lvl>
  </w:abstractNum>
  <w:abstractNum w:abstractNumId="13"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6A24F1"/>
    <w:multiLevelType w:val="hybridMultilevel"/>
    <w:tmpl w:val="58FC514E"/>
    <w:lvl w:ilvl="0" w:tplc="2D70797C">
      <w:start w:val="1"/>
      <w:numFmt w:val="decimal"/>
      <w:lvlText w:val="%1."/>
      <w:lvlJc w:val="left"/>
      <w:pPr>
        <w:ind w:left="360" w:hanging="360"/>
      </w:pPr>
      <w:rPr>
        <w:rFonts w:hint="default"/>
        <w:b/>
        <w:bCs w:val="0"/>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A40083"/>
    <w:multiLevelType w:val="hybridMultilevel"/>
    <w:tmpl w:val="62C0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69D9E5"/>
    <w:multiLevelType w:val="hybridMultilevel"/>
    <w:tmpl w:val="1D2A2B14"/>
    <w:lvl w:ilvl="0" w:tplc="2326E1D0">
      <w:start w:val="3"/>
      <w:numFmt w:val="decimal"/>
      <w:lvlText w:val="%1."/>
      <w:lvlJc w:val="left"/>
      <w:pPr>
        <w:ind w:left="720" w:hanging="360"/>
      </w:pPr>
    </w:lvl>
    <w:lvl w:ilvl="1" w:tplc="8214CB9E">
      <w:start w:val="1"/>
      <w:numFmt w:val="lowerLetter"/>
      <w:lvlText w:val="%2."/>
      <w:lvlJc w:val="left"/>
      <w:pPr>
        <w:ind w:left="1440" w:hanging="360"/>
      </w:pPr>
    </w:lvl>
    <w:lvl w:ilvl="2" w:tplc="F8961ECA">
      <w:start w:val="1"/>
      <w:numFmt w:val="lowerRoman"/>
      <w:lvlText w:val="%3."/>
      <w:lvlJc w:val="right"/>
      <w:pPr>
        <w:ind w:left="2160" w:hanging="180"/>
      </w:pPr>
    </w:lvl>
    <w:lvl w:ilvl="3" w:tplc="8C2AD02C">
      <w:start w:val="1"/>
      <w:numFmt w:val="decimal"/>
      <w:lvlText w:val="%4."/>
      <w:lvlJc w:val="left"/>
      <w:pPr>
        <w:ind w:left="2880" w:hanging="360"/>
      </w:pPr>
    </w:lvl>
    <w:lvl w:ilvl="4" w:tplc="B7A83DB2">
      <w:start w:val="1"/>
      <w:numFmt w:val="lowerLetter"/>
      <w:lvlText w:val="%5."/>
      <w:lvlJc w:val="left"/>
      <w:pPr>
        <w:ind w:left="3600" w:hanging="360"/>
      </w:pPr>
    </w:lvl>
    <w:lvl w:ilvl="5" w:tplc="52DC58FA">
      <w:start w:val="1"/>
      <w:numFmt w:val="lowerRoman"/>
      <w:lvlText w:val="%6."/>
      <w:lvlJc w:val="right"/>
      <w:pPr>
        <w:ind w:left="4320" w:hanging="180"/>
      </w:pPr>
    </w:lvl>
    <w:lvl w:ilvl="6" w:tplc="D4D216C4">
      <w:start w:val="1"/>
      <w:numFmt w:val="decimal"/>
      <w:lvlText w:val="%7."/>
      <w:lvlJc w:val="left"/>
      <w:pPr>
        <w:ind w:left="5040" w:hanging="360"/>
      </w:pPr>
    </w:lvl>
    <w:lvl w:ilvl="7" w:tplc="CEF2DABC">
      <w:start w:val="1"/>
      <w:numFmt w:val="lowerLetter"/>
      <w:lvlText w:val="%8."/>
      <w:lvlJc w:val="left"/>
      <w:pPr>
        <w:ind w:left="5760" w:hanging="360"/>
      </w:pPr>
    </w:lvl>
    <w:lvl w:ilvl="8" w:tplc="07046508">
      <w:start w:val="1"/>
      <w:numFmt w:val="lowerRoman"/>
      <w:lvlText w:val="%9."/>
      <w:lvlJc w:val="right"/>
      <w:pPr>
        <w:ind w:left="6480" w:hanging="180"/>
      </w:pPr>
    </w:lvl>
  </w:abstractNum>
  <w:abstractNum w:abstractNumId="18" w15:restartNumberingAfterBreak="0">
    <w:nsid w:val="416E47C1"/>
    <w:multiLevelType w:val="hybridMultilevel"/>
    <w:tmpl w:val="0B3672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20F7D43"/>
    <w:multiLevelType w:val="hybridMultilevel"/>
    <w:tmpl w:val="8214B81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596C19"/>
    <w:multiLevelType w:val="hybridMultilevel"/>
    <w:tmpl w:val="D1E4D69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0C1C15"/>
    <w:multiLevelType w:val="hybridMultilevel"/>
    <w:tmpl w:val="29C00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476E74"/>
    <w:multiLevelType w:val="hybridMultilevel"/>
    <w:tmpl w:val="39EEE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B06EB0"/>
    <w:multiLevelType w:val="hybridMultilevel"/>
    <w:tmpl w:val="BCCA3298"/>
    <w:lvl w:ilvl="0" w:tplc="E26E4B64">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5" w15:restartNumberingAfterBreak="0">
    <w:nsid w:val="699C49BA"/>
    <w:multiLevelType w:val="hybridMultilevel"/>
    <w:tmpl w:val="55CE2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F77E4F"/>
    <w:multiLevelType w:val="hybridMultilevel"/>
    <w:tmpl w:val="057CC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4179987">
    <w:abstractNumId w:val="10"/>
  </w:num>
  <w:num w:numId="2" w16cid:durableId="401761433">
    <w:abstractNumId w:val="17"/>
  </w:num>
  <w:num w:numId="3" w16cid:durableId="1921672412">
    <w:abstractNumId w:val="12"/>
  </w:num>
  <w:num w:numId="4" w16cid:durableId="52579660">
    <w:abstractNumId w:val="20"/>
  </w:num>
  <w:num w:numId="5" w16cid:durableId="197285228">
    <w:abstractNumId w:val="25"/>
  </w:num>
  <w:num w:numId="6" w16cid:durableId="2100759848">
    <w:abstractNumId w:val="9"/>
  </w:num>
  <w:num w:numId="7" w16cid:durableId="1063984767">
    <w:abstractNumId w:val="7"/>
  </w:num>
  <w:num w:numId="8" w16cid:durableId="454099851">
    <w:abstractNumId w:val="6"/>
  </w:num>
  <w:num w:numId="9" w16cid:durableId="2137990779">
    <w:abstractNumId w:val="5"/>
  </w:num>
  <w:num w:numId="10" w16cid:durableId="1756903204">
    <w:abstractNumId w:val="4"/>
  </w:num>
  <w:num w:numId="11" w16cid:durableId="1494298194">
    <w:abstractNumId w:val="8"/>
  </w:num>
  <w:num w:numId="12" w16cid:durableId="1505049345">
    <w:abstractNumId w:val="3"/>
  </w:num>
  <w:num w:numId="13" w16cid:durableId="1840580248">
    <w:abstractNumId w:val="2"/>
  </w:num>
  <w:num w:numId="14" w16cid:durableId="1470052126">
    <w:abstractNumId w:val="1"/>
  </w:num>
  <w:num w:numId="15" w16cid:durableId="751858107">
    <w:abstractNumId w:val="0"/>
  </w:num>
  <w:num w:numId="16" w16cid:durableId="1660494732">
    <w:abstractNumId w:val="14"/>
  </w:num>
  <w:num w:numId="17" w16cid:durableId="1264340247">
    <w:abstractNumId w:val="13"/>
  </w:num>
  <w:num w:numId="18" w16cid:durableId="2089181526">
    <w:abstractNumId w:val="11"/>
  </w:num>
  <w:num w:numId="19" w16cid:durableId="788625988">
    <w:abstractNumId w:val="23"/>
  </w:num>
  <w:num w:numId="20" w16cid:durableId="1721511200">
    <w:abstractNumId w:val="16"/>
  </w:num>
  <w:num w:numId="21" w16cid:durableId="152568781">
    <w:abstractNumId w:val="18"/>
  </w:num>
  <w:num w:numId="22" w16cid:durableId="667906114">
    <w:abstractNumId w:val="19"/>
  </w:num>
  <w:num w:numId="23" w16cid:durableId="2069180008">
    <w:abstractNumId w:val="24"/>
  </w:num>
  <w:num w:numId="24" w16cid:durableId="1902792214">
    <w:abstractNumId w:val="22"/>
  </w:num>
  <w:num w:numId="25" w16cid:durableId="1626429678">
    <w:abstractNumId w:val="26"/>
  </w:num>
  <w:num w:numId="26" w16cid:durableId="1343822281">
    <w:abstractNumId w:val="21"/>
  </w:num>
  <w:num w:numId="27" w16cid:durableId="7838862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0E"/>
    <w:rsid w:val="0000149D"/>
    <w:rsid w:val="00001EE6"/>
    <w:rsid w:val="0000789A"/>
    <w:rsid w:val="00013A34"/>
    <w:rsid w:val="0001534D"/>
    <w:rsid w:val="000165E4"/>
    <w:rsid w:val="0002194D"/>
    <w:rsid w:val="00024744"/>
    <w:rsid w:val="00027F0C"/>
    <w:rsid w:val="000306BF"/>
    <w:rsid w:val="000322F0"/>
    <w:rsid w:val="0003413E"/>
    <w:rsid w:val="00040232"/>
    <w:rsid w:val="00041C19"/>
    <w:rsid w:val="00046360"/>
    <w:rsid w:val="0008317B"/>
    <w:rsid w:val="00083EB0"/>
    <w:rsid w:val="000920F1"/>
    <w:rsid w:val="00092A0A"/>
    <w:rsid w:val="000930FB"/>
    <w:rsid w:val="0009490A"/>
    <w:rsid w:val="00095D42"/>
    <w:rsid w:val="000A5376"/>
    <w:rsid w:val="000C0242"/>
    <w:rsid w:val="000C37B9"/>
    <w:rsid w:val="000C3E8F"/>
    <w:rsid w:val="000C6184"/>
    <w:rsid w:val="000E68F6"/>
    <w:rsid w:val="0010004A"/>
    <w:rsid w:val="00103BD0"/>
    <w:rsid w:val="00135275"/>
    <w:rsid w:val="00136A85"/>
    <w:rsid w:val="00143DFE"/>
    <w:rsid w:val="00150322"/>
    <w:rsid w:val="00152566"/>
    <w:rsid w:val="00157609"/>
    <w:rsid w:val="00160D9F"/>
    <w:rsid w:val="0016695D"/>
    <w:rsid w:val="001672DD"/>
    <w:rsid w:val="00171E36"/>
    <w:rsid w:val="00172F3F"/>
    <w:rsid w:val="001758B0"/>
    <w:rsid w:val="001768A9"/>
    <w:rsid w:val="0018025B"/>
    <w:rsid w:val="0018294C"/>
    <w:rsid w:val="00194A20"/>
    <w:rsid w:val="001A09CA"/>
    <w:rsid w:val="001B5DEC"/>
    <w:rsid w:val="001C0273"/>
    <w:rsid w:val="001C57C6"/>
    <w:rsid w:val="001D5857"/>
    <w:rsid w:val="001D6466"/>
    <w:rsid w:val="001E0C3C"/>
    <w:rsid w:val="001F1D32"/>
    <w:rsid w:val="001F6107"/>
    <w:rsid w:val="001F7B55"/>
    <w:rsid w:val="00204494"/>
    <w:rsid w:val="0020635D"/>
    <w:rsid w:val="00214F5E"/>
    <w:rsid w:val="00223B94"/>
    <w:rsid w:val="0022457E"/>
    <w:rsid w:val="00224CFE"/>
    <w:rsid w:val="002446EB"/>
    <w:rsid w:val="00247B99"/>
    <w:rsid w:val="00250C55"/>
    <w:rsid w:val="00251189"/>
    <w:rsid w:val="00252767"/>
    <w:rsid w:val="0025434D"/>
    <w:rsid w:val="00255977"/>
    <w:rsid w:val="002569A7"/>
    <w:rsid w:val="0027111B"/>
    <w:rsid w:val="002759D3"/>
    <w:rsid w:val="0028340D"/>
    <w:rsid w:val="00284056"/>
    <w:rsid w:val="002A3C33"/>
    <w:rsid w:val="002A5015"/>
    <w:rsid w:val="002B2728"/>
    <w:rsid w:val="002B40B0"/>
    <w:rsid w:val="002B5308"/>
    <w:rsid w:val="002B7B57"/>
    <w:rsid w:val="002C65E4"/>
    <w:rsid w:val="002C7668"/>
    <w:rsid w:val="002D7E98"/>
    <w:rsid w:val="002E2CD9"/>
    <w:rsid w:val="002F3669"/>
    <w:rsid w:val="002F3BE6"/>
    <w:rsid w:val="00301128"/>
    <w:rsid w:val="003021E0"/>
    <w:rsid w:val="00316024"/>
    <w:rsid w:val="00316045"/>
    <w:rsid w:val="00316B4E"/>
    <w:rsid w:val="0032225A"/>
    <w:rsid w:val="00325C22"/>
    <w:rsid w:val="00326AF5"/>
    <w:rsid w:val="00332E2E"/>
    <w:rsid w:val="003343BC"/>
    <w:rsid w:val="00334EF6"/>
    <w:rsid w:val="003361FA"/>
    <w:rsid w:val="0034619B"/>
    <w:rsid w:val="00350E67"/>
    <w:rsid w:val="00353234"/>
    <w:rsid w:val="003630A9"/>
    <w:rsid w:val="0037600A"/>
    <w:rsid w:val="003813DF"/>
    <w:rsid w:val="003854AD"/>
    <w:rsid w:val="003904FF"/>
    <w:rsid w:val="00396342"/>
    <w:rsid w:val="00396538"/>
    <w:rsid w:val="003A160C"/>
    <w:rsid w:val="003A4824"/>
    <w:rsid w:val="003A7F6B"/>
    <w:rsid w:val="003B0EED"/>
    <w:rsid w:val="003B3FD8"/>
    <w:rsid w:val="003B442E"/>
    <w:rsid w:val="003C00BB"/>
    <w:rsid w:val="003C2482"/>
    <w:rsid w:val="003C7F59"/>
    <w:rsid w:val="003D16A9"/>
    <w:rsid w:val="003D3FC6"/>
    <w:rsid w:val="003D4F66"/>
    <w:rsid w:val="003D7847"/>
    <w:rsid w:val="003E3F3B"/>
    <w:rsid w:val="003F0886"/>
    <w:rsid w:val="003F6AD9"/>
    <w:rsid w:val="0040368A"/>
    <w:rsid w:val="0040412F"/>
    <w:rsid w:val="00412018"/>
    <w:rsid w:val="00415635"/>
    <w:rsid w:val="004169AF"/>
    <w:rsid w:val="00422A49"/>
    <w:rsid w:val="00422A61"/>
    <w:rsid w:val="004251B6"/>
    <w:rsid w:val="00425B48"/>
    <w:rsid w:val="0043145E"/>
    <w:rsid w:val="00432730"/>
    <w:rsid w:val="0043570E"/>
    <w:rsid w:val="0044111F"/>
    <w:rsid w:val="00447E64"/>
    <w:rsid w:val="00451E97"/>
    <w:rsid w:val="00453A9A"/>
    <w:rsid w:val="004557F3"/>
    <w:rsid w:val="0046099F"/>
    <w:rsid w:val="00466528"/>
    <w:rsid w:val="00484973"/>
    <w:rsid w:val="004944C6"/>
    <w:rsid w:val="004A0A35"/>
    <w:rsid w:val="004C3712"/>
    <w:rsid w:val="004C3B9C"/>
    <w:rsid w:val="004C56EC"/>
    <w:rsid w:val="004C6042"/>
    <w:rsid w:val="004D5896"/>
    <w:rsid w:val="004E082C"/>
    <w:rsid w:val="004E13B2"/>
    <w:rsid w:val="004F0F02"/>
    <w:rsid w:val="004F0F68"/>
    <w:rsid w:val="004F656C"/>
    <w:rsid w:val="005021E8"/>
    <w:rsid w:val="005046DA"/>
    <w:rsid w:val="0051390E"/>
    <w:rsid w:val="00522B23"/>
    <w:rsid w:val="00527E00"/>
    <w:rsid w:val="00536674"/>
    <w:rsid w:val="0053727B"/>
    <w:rsid w:val="005455F1"/>
    <w:rsid w:val="00546165"/>
    <w:rsid w:val="00547BD8"/>
    <w:rsid w:val="00551E27"/>
    <w:rsid w:val="0056094B"/>
    <w:rsid w:val="00560ABC"/>
    <w:rsid w:val="00564E26"/>
    <w:rsid w:val="00576A15"/>
    <w:rsid w:val="0058097D"/>
    <w:rsid w:val="0058171B"/>
    <w:rsid w:val="00587358"/>
    <w:rsid w:val="00591470"/>
    <w:rsid w:val="00592923"/>
    <w:rsid w:val="00596ACE"/>
    <w:rsid w:val="00596BBF"/>
    <w:rsid w:val="00597B6E"/>
    <w:rsid w:val="005A0D86"/>
    <w:rsid w:val="005A5FCC"/>
    <w:rsid w:val="005A682A"/>
    <w:rsid w:val="005B224F"/>
    <w:rsid w:val="005C2356"/>
    <w:rsid w:val="005D058C"/>
    <w:rsid w:val="005E363B"/>
    <w:rsid w:val="005F173F"/>
    <w:rsid w:val="005F1BF1"/>
    <w:rsid w:val="00615754"/>
    <w:rsid w:val="00620302"/>
    <w:rsid w:val="00620D84"/>
    <w:rsid w:val="00620D9D"/>
    <w:rsid w:val="006302E4"/>
    <w:rsid w:val="0063179F"/>
    <w:rsid w:val="006321AD"/>
    <w:rsid w:val="0063332A"/>
    <w:rsid w:val="00654790"/>
    <w:rsid w:val="0066031F"/>
    <w:rsid w:val="00664A48"/>
    <w:rsid w:val="00666B73"/>
    <w:rsid w:val="0067235D"/>
    <w:rsid w:val="0068166B"/>
    <w:rsid w:val="00682E13"/>
    <w:rsid w:val="00683136"/>
    <w:rsid w:val="00691DAD"/>
    <w:rsid w:val="00693225"/>
    <w:rsid w:val="00696900"/>
    <w:rsid w:val="00696C42"/>
    <w:rsid w:val="006A1E0D"/>
    <w:rsid w:val="006A4E27"/>
    <w:rsid w:val="006A75D4"/>
    <w:rsid w:val="006B6CA7"/>
    <w:rsid w:val="006B7520"/>
    <w:rsid w:val="006B767C"/>
    <w:rsid w:val="006C150D"/>
    <w:rsid w:val="006D4CFC"/>
    <w:rsid w:val="006D7513"/>
    <w:rsid w:val="006E4B74"/>
    <w:rsid w:val="006E7D7D"/>
    <w:rsid w:val="006F1EC2"/>
    <w:rsid w:val="006F6C61"/>
    <w:rsid w:val="00702FCF"/>
    <w:rsid w:val="00710C8E"/>
    <w:rsid w:val="007201BF"/>
    <w:rsid w:val="00722FE8"/>
    <w:rsid w:val="007240FE"/>
    <w:rsid w:val="00726D45"/>
    <w:rsid w:val="00735DDB"/>
    <w:rsid w:val="0074178C"/>
    <w:rsid w:val="0075404A"/>
    <w:rsid w:val="00754E04"/>
    <w:rsid w:val="00755562"/>
    <w:rsid w:val="00755612"/>
    <w:rsid w:val="00755A97"/>
    <w:rsid w:val="007610DD"/>
    <w:rsid w:val="00781D19"/>
    <w:rsid w:val="00786471"/>
    <w:rsid w:val="00790719"/>
    <w:rsid w:val="0079226B"/>
    <w:rsid w:val="00796FC4"/>
    <w:rsid w:val="007A0B36"/>
    <w:rsid w:val="007A0C1B"/>
    <w:rsid w:val="007A326F"/>
    <w:rsid w:val="007A3C43"/>
    <w:rsid w:val="007A72DA"/>
    <w:rsid w:val="007B1781"/>
    <w:rsid w:val="007C1A89"/>
    <w:rsid w:val="007C3D84"/>
    <w:rsid w:val="007C4A89"/>
    <w:rsid w:val="007C4BCB"/>
    <w:rsid w:val="007D042D"/>
    <w:rsid w:val="007D2EDD"/>
    <w:rsid w:val="007E6081"/>
    <w:rsid w:val="007F6306"/>
    <w:rsid w:val="007F6B16"/>
    <w:rsid w:val="008011DD"/>
    <w:rsid w:val="0080140E"/>
    <w:rsid w:val="008108E2"/>
    <w:rsid w:val="008123F0"/>
    <w:rsid w:val="00812BC0"/>
    <w:rsid w:val="0081576E"/>
    <w:rsid w:val="008208E9"/>
    <w:rsid w:val="00823883"/>
    <w:rsid w:val="00825B2F"/>
    <w:rsid w:val="00825EBF"/>
    <w:rsid w:val="00827E88"/>
    <w:rsid w:val="00830F9B"/>
    <w:rsid w:val="0083173D"/>
    <w:rsid w:val="00833595"/>
    <w:rsid w:val="0083619A"/>
    <w:rsid w:val="0083759E"/>
    <w:rsid w:val="00841081"/>
    <w:rsid w:val="00841EDF"/>
    <w:rsid w:val="00845BCE"/>
    <w:rsid w:val="00847342"/>
    <w:rsid w:val="00852B3D"/>
    <w:rsid w:val="008547F5"/>
    <w:rsid w:val="00864A39"/>
    <w:rsid w:val="00884844"/>
    <w:rsid w:val="00886AF1"/>
    <w:rsid w:val="0088709F"/>
    <w:rsid w:val="00890C0F"/>
    <w:rsid w:val="008956D2"/>
    <w:rsid w:val="00897469"/>
    <w:rsid w:val="008A144E"/>
    <w:rsid w:val="008A6802"/>
    <w:rsid w:val="008A6C80"/>
    <w:rsid w:val="008B4CCE"/>
    <w:rsid w:val="008C36D0"/>
    <w:rsid w:val="008C4C18"/>
    <w:rsid w:val="008D4350"/>
    <w:rsid w:val="008D5A82"/>
    <w:rsid w:val="008E069E"/>
    <w:rsid w:val="008E0E8D"/>
    <w:rsid w:val="008E4EB0"/>
    <w:rsid w:val="008F097D"/>
    <w:rsid w:val="008F10E8"/>
    <w:rsid w:val="008F21F1"/>
    <w:rsid w:val="008F30C2"/>
    <w:rsid w:val="009009D0"/>
    <w:rsid w:val="00911D0C"/>
    <w:rsid w:val="00913816"/>
    <w:rsid w:val="00914844"/>
    <w:rsid w:val="00927AD4"/>
    <w:rsid w:val="00933377"/>
    <w:rsid w:val="00940C2B"/>
    <w:rsid w:val="009416E3"/>
    <w:rsid w:val="00947E8C"/>
    <w:rsid w:val="00955A90"/>
    <w:rsid w:val="009569EF"/>
    <w:rsid w:val="009571FE"/>
    <w:rsid w:val="0096083F"/>
    <w:rsid w:val="00960DAA"/>
    <w:rsid w:val="009626A8"/>
    <w:rsid w:val="00965B73"/>
    <w:rsid w:val="0097389B"/>
    <w:rsid w:val="00976468"/>
    <w:rsid w:val="00983EE1"/>
    <w:rsid w:val="00987003"/>
    <w:rsid w:val="009909A0"/>
    <w:rsid w:val="00992033"/>
    <w:rsid w:val="00996DE8"/>
    <w:rsid w:val="009A337C"/>
    <w:rsid w:val="009B03D4"/>
    <w:rsid w:val="009B1D97"/>
    <w:rsid w:val="009C2F0E"/>
    <w:rsid w:val="009C6EA3"/>
    <w:rsid w:val="009D638D"/>
    <w:rsid w:val="009E5947"/>
    <w:rsid w:val="009E70AE"/>
    <w:rsid w:val="009E723A"/>
    <w:rsid w:val="009F53AF"/>
    <w:rsid w:val="009F72A1"/>
    <w:rsid w:val="00A057B3"/>
    <w:rsid w:val="00A07666"/>
    <w:rsid w:val="00A1157B"/>
    <w:rsid w:val="00A16186"/>
    <w:rsid w:val="00A1633B"/>
    <w:rsid w:val="00A23015"/>
    <w:rsid w:val="00A231A5"/>
    <w:rsid w:val="00A34776"/>
    <w:rsid w:val="00A379D1"/>
    <w:rsid w:val="00A604FC"/>
    <w:rsid w:val="00A65327"/>
    <w:rsid w:val="00A673A5"/>
    <w:rsid w:val="00A7240A"/>
    <w:rsid w:val="00A72767"/>
    <w:rsid w:val="00A8216C"/>
    <w:rsid w:val="00A83D23"/>
    <w:rsid w:val="00A905F3"/>
    <w:rsid w:val="00A937E6"/>
    <w:rsid w:val="00A94F25"/>
    <w:rsid w:val="00AA1E0D"/>
    <w:rsid w:val="00AA2321"/>
    <w:rsid w:val="00AA4722"/>
    <w:rsid w:val="00AA4E7C"/>
    <w:rsid w:val="00AA6A43"/>
    <w:rsid w:val="00AB0716"/>
    <w:rsid w:val="00AB1D64"/>
    <w:rsid w:val="00AB4353"/>
    <w:rsid w:val="00AB48D1"/>
    <w:rsid w:val="00AC1B14"/>
    <w:rsid w:val="00AC2015"/>
    <w:rsid w:val="00AD05E1"/>
    <w:rsid w:val="00AD0D39"/>
    <w:rsid w:val="00AD4E59"/>
    <w:rsid w:val="00AD5040"/>
    <w:rsid w:val="00AD64C9"/>
    <w:rsid w:val="00AE27BD"/>
    <w:rsid w:val="00AE4CAE"/>
    <w:rsid w:val="00AF613E"/>
    <w:rsid w:val="00B00C47"/>
    <w:rsid w:val="00B0196E"/>
    <w:rsid w:val="00B03392"/>
    <w:rsid w:val="00B04F6C"/>
    <w:rsid w:val="00B07610"/>
    <w:rsid w:val="00B212BB"/>
    <w:rsid w:val="00B3143B"/>
    <w:rsid w:val="00B31D75"/>
    <w:rsid w:val="00B32E71"/>
    <w:rsid w:val="00B439D3"/>
    <w:rsid w:val="00B46DBD"/>
    <w:rsid w:val="00B518E7"/>
    <w:rsid w:val="00B538B6"/>
    <w:rsid w:val="00B5524C"/>
    <w:rsid w:val="00B710FF"/>
    <w:rsid w:val="00B7111E"/>
    <w:rsid w:val="00B7261F"/>
    <w:rsid w:val="00B8220A"/>
    <w:rsid w:val="00B90CFE"/>
    <w:rsid w:val="00B92289"/>
    <w:rsid w:val="00BA22F8"/>
    <w:rsid w:val="00BB2A34"/>
    <w:rsid w:val="00BC3EF6"/>
    <w:rsid w:val="00BC6B95"/>
    <w:rsid w:val="00BD410B"/>
    <w:rsid w:val="00BD7281"/>
    <w:rsid w:val="00BD785D"/>
    <w:rsid w:val="00BE3E27"/>
    <w:rsid w:val="00BF2B33"/>
    <w:rsid w:val="00BF2CEF"/>
    <w:rsid w:val="00BF2ED5"/>
    <w:rsid w:val="00BF6075"/>
    <w:rsid w:val="00C10382"/>
    <w:rsid w:val="00C1224E"/>
    <w:rsid w:val="00C13720"/>
    <w:rsid w:val="00C20A64"/>
    <w:rsid w:val="00C25D1D"/>
    <w:rsid w:val="00C2718F"/>
    <w:rsid w:val="00C310DB"/>
    <w:rsid w:val="00C36618"/>
    <w:rsid w:val="00C404F1"/>
    <w:rsid w:val="00C4184D"/>
    <w:rsid w:val="00C6377C"/>
    <w:rsid w:val="00C834B4"/>
    <w:rsid w:val="00C83B28"/>
    <w:rsid w:val="00C864F7"/>
    <w:rsid w:val="00C926AD"/>
    <w:rsid w:val="00C96FD0"/>
    <w:rsid w:val="00C970E6"/>
    <w:rsid w:val="00CA04EA"/>
    <w:rsid w:val="00CA1806"/>
    <w:rsid w:val="00CA6BE9"/>
    <w:rsid w:val="00CB1E44"/>
    <w:rsid w:val="00CB3045"/>
    <w:rsid w:val="00CC3275"/>
    <w:rsid w:val="00CC487C"/>
    <w:rsid w:val="00CC5E69"/>
    <w:rsid w:val="00CD5720"/>
    <w:rsid w:val="00CD5B96"/>
    <w:rsid w:val="00CE0BE2"/>
    <w:rsid w:val="00CE1ED9"/>
    <w:rsid w:val="00CE4AEA"/>
    <w:rsid w:val="00CE565E"/>
    <w:rsid w:val="00CF0C87"/>
    <w:rsid w:val="00CF3117"/>
    <w:rsid w:val="00CF6B2D"/>
    <w:rsid w:val="00D00583"/>
    <w:rsid w:val="00D00668"/>
    <w:rsid w:val="00D043DE"/>
    <w:rsid w:val="00D05CCA"/>
    <w:rsid w:val="00D14C59"/>
    <w:rsid w:val="00D15CE0"/>
    <w:rsid w:val="00D1633C"/>
    <w:rsid w:val="00D22C2F"/>
    <w:rsid w:val="00D23F59"/>
    <w:rsid w:val="00D25C73"/>
    <w:rsid w:val="00D3116B"/>
    <w:rsid w:val="00D316CC"/>
    <w:rsid w:val="00D37B07"/>
    <w:rsid w:val="00D4126F"/>
    <w:rsid w:val="00D4136F"/>
    <w:rsid w:val="00D41FFD"/>
    <w:rsid w:val="00D5065B"/>
    <w:rsid w:val="00D52BE3"/>
    <w:rsid w:val="00D669EB"/>
    <w:rsid w:val="00D66E20"/>
    <w:rsid w:val="00D73E5A"/>
    <w:rsid w:val="00D81B3A"/>
    <w:rsid w:val="00D944F1"/>
    <w:rsid w:val="00DA1A8A"/>
    <w:rsid w:val="00DA4872"/>
    <w:rsid w:val="00DC0EF0"/>
    <w:rsid w:val="00DC1AC0"/>
    <w:rsid w:val="00DC59F9"/>
    <w:rsid w:val="00DC6A1A"/>
    <w:rsid w:val="00DD2B58"/>
    <w:rsid w:val="00DD52E1"/>
    <w:rsid w:val="00DE3D00"/>
    <w:rsid w:val="00DF0B5B"/>
    <w:rsid w:val="00E0283A"/>
    <w:rsid w:val="00E11968"/>
    <w:rsid w:val="00E138A5"/>
    <w:rsid w:val="00E149C9"/>
    <w:rsid w:val="00E15FF5"/>
    <w:rsid w:val="00E16CF1"/>
    <w:rsid w:val="00E175A1"/>
    <w:rsid w:val="00E23232"/>
    <w:rsid w:val="00E2600F"/>
    <w:rsid w:val="00E268D3"/>
    <w:rsid w:val="00E26D56"/>
    <w:rsid w:val="00E342F8"/>
    <w:rsid w:val="00E43412"/>
    <w:rsid w:val="00E509C4"/>
    <w:rsid w:val="00E50A66"/>
    <w:rsid w:val="00E524E2"/>
    <w:rsid w:val="00E62449"/>
    <w:rsid w:val="00E66C55"/>
    <w:rsid w:val="00E738C9"/>
    <w:rsid w:val="00E751B7"/>
    <w:rsid w:val="00E772EB"/>
    <w:rsid w:val="00E85880"/>
    <w:rsid w:val="00E907C7"/>
    <w:rsid w:val="00E93A55"/>
    <w:rsid w:val="00EA198C"/>
    <w:rsid w:val="00EA46CA"/>
    <w:rsid w:val="00EB0F6D"/>
    <w:rsid w:val="00EB1045"/>
    <w:rsid w:val="00EB4B0E"/>
    <w:rsid w:val="00EC3A39"/>
    <w:rsid w:val="00ED1F30"/>
    <w:rsid w:val="00ED57AC"/>
    <w:rsid w:val="00EE09F9"/>
    <w:rsid w:val="00EE1923"/>
    <w:rsid w:val="00EE2953"/>
    <w:rsid w:val="00EE57BF"/>
    <w:rsid w:val="00EF1AB9"/>
    <w:rsid w:val="00EF1D55"/>
    <w:rsid w:val="00EF35F4"/>
    <w:rsid w:val="00EF615F"/>
    <w:rsid w:val="00EF7F76"/>
    <w:rsid w:val="00F07DE7"/>
    <w:rsid w:val="00F13BA1"/>
    <w:rsid w:val="00F22187"/>
    <w:rsid w:val="00F32A01"/>
    <w:rsid w:val="00F44381"/>
    <w:rsid w:val="00F51703"/>
    <w:rsid w:val="00F5794A"/>
    <w:rsid w:val="00F602C0"/>
    <w:rsid w:val="00F65ABA"/>
    <w:rsid w:val="00F66B11"/>
    <w:rsid w:val="00F70045"/>
    <w:rsid w:val="00F74869"/>
    <w:rsid w:val="00F77391"/>
    <w:rsid w:val="00F80632"/>
    <w:rsid w:val="00F85F16"/>
    <w:rsid w:val="00F86F8D"/>
    <w:rsid w:val="00F951A4"/>
    <w:rsid w:val="00FA12E2"/>
    <w:rsid w:val="00FA5401"/>
    <w:rsid w:val="00FB2CCE"/>
    <w:rsid w:val="00FB54AB"/>
    <w:rsid w:val="00FB66F7"/>
    <w:rsid w:val="00FC4AD3"/>
    <w:rsid w:val="00FD36A3"/>
    <w:rsid w:val="00FD5DF3"/>
    <w:rsid w:val="00FD7C84"/>
    <w:rsid w:val="00FE5119"/>
    <w:rsid w:val="00FF2B21"/>
    <w:rsid w:val="00FF5BFB"/>
    <w:rsid w:val="0A1870B3"/>
    <w:rsid w:val="251DB27E"/>
    <w:rsid w:val="28247DE1"/>
    <w:rsid w:val="3B413194"/>
    <w:rsid w:val="614F6738"/>
    <w:rsid w:val="705EB8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1032"/>
  <w15:chartTrackingRefBased/>
  <w15:docId w15:val="{6CD49B88-E3EA-4F6B-B5B2-A2751A56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00"/>
    <w:pPr>
      <w:spacing w:before="240" w:after="240" w:line="300" w:lineRule="auto"/>
    </w:pPr>
    <w:rPr>
      <w:rFonts w:ascii="Arial" w:hAnsi="Arial"/>
    </w:rPr>
  </w:style>
  <w:style w:type="paragraph" w:styleId="Heading1">
    <w:name w:val="heading 1"/>
    <w:basedOn w:val="Normal"/>
    <w:next w:val="Normal"/>
    <w:link w:val="Heading1Char"/>
    <w:uiPriority w:val="9"/>
    <w:qFormat/>
    <w:rsid w:val="005C235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1768A9"/>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1768A9"/>
    <w:pPr>
      <w:spacing w:after="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1768A9"/>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5C235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1768A9"/>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basedOn w:val="Normal"/>
    <w:uiPriority w:val="34"/>
    <w:qFormat/>
    <w:rsid w:val="00527E00"/>
    <w:pPr>
      <w:numPr>
        <w:numId w:val="4"/>
      </w:numPr>
      <w:ind w:left="284" w:hanging="284"/>
      <w:contextualSpacing/>
    </w:pPr>
  </w:style>
  <w:style w:type="paragraph" w:styleId="ListBullet">
    <w:name w:val="List Bullet"/>
    <w:basedOn w:val="ListParagraph"/>
    <w:uiPriority w:val="99"/>
    <w:unhideWhenUsed/>
    <w:rsid w:val="00DE3D00"/>
    <w:pPr>
      <w:numPr>
        <w:numId w:val="17"/>
      </w:numPr>
    </w:pPr>
  </w:style>
  <w:style w:type="paragraph" w:styleId="ListBullet2">
    <w:name w:val="List Bullet 2"/>
    <w:basedOn w:val="Normal"/>
    <w:uiPriority w:val="99"/>
    <w:unhideWhenUsed/>
    <w:rsid w:val="00040232"/>
    <w:pPr>
      <w:numPr>
        <w:numId w:val="7"/>
      </w:numPr>
      <w:spacing w:before="120"/>
      <w:ind w:left="641" w:hanging="357"/>
      <w:contextualSpacing/>
    </w:pPr>
  </w:style>
  <w:style w:type="paragraph" w:styleId="ListNumber">
    <w:name w:val="List Number"/>
    <w:basedOn w:val="ListParagraph"/>
    <w:uiPriority w:val="99"/>
    <w:unhideWhenUsed/>
    <w:rsid w:val="00DE3D00"/>
    <w:pPr>
      <w:numPr>
        <w:numId w:val="18"/>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table" w:styleId="GridTable5Dark-Accent6">
    <w:name w:val="Grid Table 5 Dark Accent 6"/>
    <w:basedOn w:val="TableNormal"/>
    <w:uiPriority w:val="50"/>
    <w:rsid w:val="00EB4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2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73A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73A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73A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73AF" w:themeFill="accent6"/>
      </w:tcPr>
    </w:tblStylePr>
    <w:tblStylePr w:type="band1Vert">
      <w:tblPr/>
      <w:tcPr>
        <w:shd w:val="clear" w:color="auto" w:fill="E9C6DE" w:themeFill="accent6" w:themeFillTint="66"/>
      </w:tcPr>
    </w:tblStylePr>
    <w:tblStylePr w:type="band1Horz">
      <w:tblPr/>
      <w:tcPr>
        <w:shd w:val="clear" w:color="auto" w:fill="E9C6DE" w:themeFill="accent6" w:themeFillTint="66"/>
      </w:tcPr>
    </w:tblStylePr>
  </w:style>
  <w:style w:type="table" w:styleId="TableGridLight">
    <w:name w:val="Grid Table Light"/>
    <w:basedOn w:val="TableNormal"/>
    <w:uiPriority w:val="40"/>
    <w:rsid w:val="00EB4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EB4B0E"/>
    <w:rPr>
      <w:i/>
      <w:iCs/>
      <w:color w:val="005677" w:themeColor="accent1"/>
    </w:rPr>
  </w:style>
  <w:style w:type="character" w:styleId="IntenseReference">
    <w:name w:val="Intense Reference"/>
    <w:basedOn w:val="DefaultParagraphFont"/>
    <w:uiPriority w:val="32"/>
    <w:qFormat/>
    <w:rsid w:val="00EB4B0E"/>
    <w:rPr>
      <w:b/>
      <w:bCs/>
      <w:smallCaps/>
      <w:color w:val="005677" w:themeColor="accent1"/>
      <w:spacing w:val="5"/>
    </w:rPr>
  </w:style>
  <w:style w:type="character" w:styleId="BookTitle">
    <w:name w:val="Book Title"/>
    <w:basedOn w:val="DefaultParagraphFont"/>
    <w:uiPriority w:val="33"/>
    <w:qFormat/>
    <w:rsid w:val="00EB4B0E"/>
    <w:rPr>
      <w:b/>
      <w:bCs/>
      <w:i/>
      <w:iCs/>
      <w:spacing w:val="5"/>
    </w:rPr>
  </w:style>
  <w:style w:type="character" w:styleId="SubtleReference">
    <w:name w:val="Subtle Reference"/>
    <w:basedOn w:val="DefaultParagraphFont"/>
    <w:uiPriority w:val="31"/>
    <w:qFormat/>
    <w:rsid w:val="00EB4B0E"/>
    <w:rPr>
      <w:smallCaps/>
      <w:color w:val="5A5A5A" w:themeColor="text1" w:themeTint="A5"/>
    </w:rPr>
  </w:style>
  <w:style w:type="paragraph" w:styleId="Subtitle">
    <w:name w:val="Subtitle"/>
    <w:basedOn w:val="Normal"/>
    <w:next w:val="Normal"/>
    <w:link w:val="SubtitleChar"/>
    <w:uiPriority w:val="11"/>
    <w:qFormat/>
    <w:rsid w:val="00EB4B0E"/>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EB4B0E"/>
    <w:rPr>
      <w:rFonts w:eastAsiaTheme="minorEastAsia"/>
      <w:color w:val="5A5A5A" w:themeColor="text1" w:themeTint="A5"/>
      <w:spacing w:val="15"/>
    </w:rPr>
  </w:style>
  <w:style w:type="character" w:styleId="SubtleEmphasis">
    <w:name w:val="Subtle Emphasis"/>
    <w:basedOn w:val="DefaultParagraphFont"/>
    <w:uiPriority w:val="19"/>
    <w:qFormat/>
    <w:rsid w:val="00EB4B0E"/>
    <w:rPr>
      <w:i/>
      <w:iCs/>
      <w:color w:val="404040" w:themeColor="text1" w:themeTint="BF"/>
    </w:rPr>
  </w:style>
  <w:style w:type="character" w:styleId="PlaceholderText">
    <w:name w:val="Placeholder Text"/>
    <w:basedOn w:val="DefaultParagraphFont"/>
    <w:uiPriority w:val="99"/>
    <w:semiHidden/>
    <w:rsid w:val="007201BF"/>
    <w:rPr>
      <w:color w:val="808080"/>
    </w:rPr>
  </w:style>
  <w:style w:type="paragraph" w:styleId="BalloonText">
    <w:name w:val="Balloon Text"/>
    <w:basedOn w:val="Normal"/>
    <w:link w:val="BalloonTextChar"/>
    <w:uiPriority w:val="99"/>
    <w:semiHidden/>
    <w:unhideWhenUsed/>
    <w:rsid w:val="003D4F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66"/>
    <w:rPr>
      <w:rFonts w:ascii="Segoe UI" w:hAnsi="Segoe UI" w:cs="Segoe UI"/>
      <w:sz w:val="18"/>
      <w:szCs w:val="18"/>
    </w:rPr>
  </w:style>
  <w:style w:type="character" w:styleId="CommentReference">
    <w:name w:val="annotation reference"/>
    <w:basedOn w:val="DefaultParagraphFont"/>
    <w:uiPriority w:val="99"/>
    <w:semiHidden/>
    <w:unhideWhenUsed/>
    <w:rsid w:val="00C13720"/>
    <w:rPr>
      <w:sz w:val="16"/>
      <w:szCs w:val="16"/>
    </w:rPr>
  </w:style>
  <w:style w:type="paragraph" w:styleId="CommentText">
    <w:name w:val="annotation text"/>
    <w:basedOn w:val="Normal"/>
    <w:link w:val="CommentTextChar"/>
    <w:uiPriority w:val="99"/>
    <w:unhideWhenUsed/>
    <w:rsid w:val="00C13720"/>
    <w:pPr>
      <w:spacing w:line="240" w:lineRule="auto"/>
    </w:pPr>
    <w:rPr>
      <w:sz w:val="20"/>
      <w:szCs w:val="20"/>
    </w:rPr>
  </w:style>
  <w:style w:type="character" w:customStyle="1" w:styleId="CommentTextChar">
    <w:name w:val="Comment Text Char"/>
    <w:basedOn w:val="DefaultParagraphFont"/>
    <w:link w:val="CommentText"/>
    <w:uiPriority w:val="99"/>
    <w:rsid w:val="00C137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13720"/>
    <w:rPr>
      <w:b/>
      <w:bCs/>
    </w:rPr>
  </w:style>
  <w:style w:type="character" w:customStyle="1" w:styleId="CommentSubjectChar">
    <w:name w:val="Comment Subject Char"/>
    <w:basedOn w:val="CommentTextChar"/>
    <w:link w:val="CommentSubject"/>
    <w:uiPriority w:val="99"/>
    <w:semiHidden/>
    <w:rsid w:val="00C13720"/>
    <w:rPr>
      <w:rFonts w:ascii="Arial" w:hAnsi="Arial"/>
      <w:b/>
      <w:bCs/>
      <w:sz w:val="20"/>
      <w:szCs w:val="20"/>
    </w:rPr>
  </w:style>
  <w:style w:type="table" w:styleId="GridTable4-Accent4">
    <w:name w:val="Grid Table 4 Accent 4"/>
    <w:basedOn w:val="TableNormal"/>
    <w:uiPriority w:val="49"/>
    <w:rsid w:val="00E751B7"/>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1Light-Accent1">
    <w:name w:val="Grid Table 1 Light Accent 1"/>
    <w:basedOn w:val="TableNormal"/>
    <w:uiPriority w:val="46"/>
    <w:rsid w:val="00E751B7"/>
    <w:pPr>
      <w:spacing w:after="0" w:line="240" w:lineRule="auto"/>
    </w:pPr>
    <w:tblPr>
      <w:tblStyleRowBandSize w:val="1"/>
      <w:tblStyleColBandSize w:val="1"/>
      <w:tblBorders>
        <w:top w:val="single" w:sz="4" w:space="0" w:color="62D3FF" w:themeColor="accent1" w:themeTint="66"/>
        <w:left w:val="single" w:sz="4" w:space="0" w:color="62D3FF" w:themeColor="accent1" w:themeTint="66"/>
        <w:bottom w:val="single" w:sz="4" w:space="0" w:color="62D3FF" w:themeColor="accent1" w:themeTint="66"/>
        <w:right w:val="single" w:sz="4" w:space="0" w:color="62D3FF" w:themeColor="accent1" w:themeTint="66"/>
        <w:insideH w:val="single" w:sz="4" w:space="0" w:color="62D3FF" w:themeColor="accent1" w:themeTint="66"/>
        <w:insideV w:val="single" w:sz="4" w:space="0" w:color="62D3FF" w:themeColor="accent1" w:themeTint="66"/>
      </w:tblBorders>
    </w:tblPr>
    <w:tblStylePr w:type="firstRow">
      <w:rPr>
        <w:b/>
        <w:bCs/>
      </w:rPr>
      <w:tblPr/>
      <w:tcPr>
        <w:tcBorders>
          <w:bottom w:val="single" w:sz="12" w:space="0" w:color="14BDFF" w:themeColor="accent1" w:themeTint="99"/>
        </w:tcBorders>
      </w:tcPr>
    </w:tblStylePr>
    <w:tblStylePr w:type="lastRow">
      <w:rPr>
        <w:b/>
        <w:bCs/>
      </w:rPr>
      <w:tblPr/>
      <w:tcPr>
        <w:tcBorders>
          <w:top w:val="double" w:sz="2" w:space="0" w:color="14BDFF"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E751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D00583"/>
    <w:rPr>
      <w:color w:val="7030A0" w:themeColor="followedHyperlink"/>
      <w:u w:val="single"/>
    </w:rPr>
  </w:style>
  <w:style w:type="paragraph" w:styleId="Revision">
    <w:name w:val="Revision"/>
    <w:hidden/>
    <w:uiPriority w:val="99"/>
    <w:semiHidden/>
    <w:rsid w:val="00EF1AB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3B96C80FB93CA4AB0AEB659FE5FFF93" ma:contentTypeVersion="12" ma:contentTypeDescription="ShareHub Document" ma:contentTypeScope="" ma:versionID="3f610ba5b69f3b7a43fdb3abcbb9ce75">
  <xsd:schema xmlns:xsd="http://www.w3.org/2001/XMLSchema" xmlns:xs="http://www.w3.org/2001/XMLSchema" xmlns:p="http://schemas.microsoft.com/office/2006/metadata/properties" xmlns:ns1="adb7d31f-f5a2-49e6-af4c-0c8dbae08483" xmlns:ns3="685f9fda-bd71-4433-b331-92feb9553089" targetNamespace="http://schemas.microsoft.com/office/2006/metadata/properties" ma:root="true" ma:fieldsID="cc0a946878bf90b9c0a8ec7779ff17ba" ns1:_="" ns3:_="">
    <xsd:import namespace="adb7d31f-f5a2-49e6-af4c-0c8dbae08483"/>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pcdca9b6383e4eec868c59ba585f94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7d31f-f5a2-49e6-af4c-0c8dbae08483"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7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4c4574-8aee-4236-a877-2a2dfad45210}" ma:internalName="TaxCatchAll" ma:showField="CatchAllData" ma:web="adb7d31f-f5a2-49e6-af4c-0c8dbae0848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4c4574-8aee-4236-a877-2a2dfad45210}" ma:internalName="TaxCatchAllLabel" ma:readOnly="true" ma:showField="CatchAllDataLabel" ma:web="adb7d31f-f5a2-49e6-af4c-0c8dbae08483">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dca9b6383e4eec868c59ba585f948e" ma:index="18" nillable="true" ma:taxonomy="true" ma:internalName="pcdca9b6383e4eec868c59ba585f948e" ma:taxonomyFieldName="ESearchTags" ma:displayName="Tags" ma:fieldId="{9cdca9b6-383e-4eec-868c-59ba585f948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adb7d31f-f5a2-49e6-af4c-0c8dbae08483">
      <Value>1</Value>
    </TaxCatchAll>
    <mc5611b894cf49d8aeeb8ebf39dc09bc xmlns="adb7d31f-f5a2-49e6-af4c-0c8dbae0848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adb7d31f-f5a2-49e6-af4c-0c8dbae08483">
      <Terms xmlns="http://schemas.microsoft.com/office/infopath/2007/PartnerControls"/>
    </jd1c641577414dfdab1686c9d5d0dbd0>
    <ShareHubID xmlns="adb7d31f-f5a2-49e6-af4c-0c8dbae08483">DOC19-402185</ShareHubID>
    <PMCNotes xmlns="adb7d31f-f5a2-49e6-af4c-0c8dbae08483" xsi:nil="true"/>
    <pcdca9b6383e4eec868c59ba585f948e xmlns="adb7d31f-f5a2-49e6-af4c-0c8dbae08483">
      <Terms xmlns="http://schemas.microsoft.com/office/infopath/2007/PartnerControls"/>
    </pcdca9b6383e4eec868c59ba585f948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A1190-F899-4281-ADDB-BCAC2BAF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7d31f-f5a2-49e6-af4c-0c8dbae08483"/>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BF3A3-EDF6-4D96-93CE-FC9D86ECF2FD}">
  <ds:schemaRefs>
    <ds:schemaRef ds:uri="http://schemas.openxmlformats.org/officeDocument/2006/bibliography"/>
  </ds:schemaRefs>
</ds:datastoreItem>
</file>

<file path=customXml/itemProps3.xml><?xml version="1.0" encoding="utf-8"?>
<ds:datastoreItem xmlns:ds="http://schemas.openxmlformats.org/officeDocument/2006/customXml" ds:itemID="{73699F71-EC34-4864-BF6A-1C0AF5B9910B}">
  <ds:schemaRefs>
    <ds:schemaRef ds:uri="http://schemas.microsoft.com/office/2006/metadata/properties"/>
    <ds:schemaRef ds:uri="http://schemas.microsoft.com/office/infopath/2007/PartnerControls"/>
    <ds:schemaRef ds:uri="685f9fda-bd71-4433-b331-92feb9553089"/>
    <ds:schemaRef ds:uri="adb7d31f-f5a2-49e6-af4c-0c8dbae08483"/>
  </ds:schemaRefs>
</ds:datastoreItem>
</file>

<file path=customXml/itemProps4.xml><?xml version="1.0" encoding="utf-8"?>
<ds:datastoreItem xmlns:ds="http://schemas.openxmlformats.org/officeDocument/2006/customXml" ds:itemID="{1B612AB7-14D4-4A0E-B064-442616258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Company>Department of Industry, Innovation and Science</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on a Page</dc:title>
  <dc:subject/>
  <dc:creator>King, David</dc:creator>
  <cp:keywords/>
  <dc:description/>
  <cp:lastModifiedBy>Damien Straker (Research)</cp:lastModifiedBy>
  <cp:revision>2</cp:revision>
  <cp:lastPrinted>2023-07-31T02:25:00Z</cp:lastPrinted>
  <dcterms:created xsi:type="dcterms:W3CDTF">2024-11-27T03:34:00Z</dcterms:created>
  <dcterms:modified xsi:type="dcterms:W3CDTF">2024-11-27T03:34:00Z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0x0101002825A64A6E1845A99A9D8EE8A5686ECB0013B96C80FB93CA4AB0AEB659FE5FFF93</vt:lpwstr>
  </property>
  <property fmtid="{D5CDD505-2E9C-101B-9397-08002B2CF9AE}" pid="3" name="_dlc_DocIdItemGuid">
    <vt:lpwstr>c2e425ad-c9db-4e25-90c4-94ec1b1dce06</vt:lpwstr>
  </property>
  <property fmtid="{D5CDD505-2E9C-101B-9397-08002B2CF9AE}" pid="4" name="DocHub_Year">
    <vt:lpwstr/>
  </property>
  <property fmtid="{D5CDD505-2E9C-101B-9397-08002B2CF9AE}" pid="5" name="DocHub_DocumentType">
    <vt:lpwstr>91;#Template|9b48ba34-650a-488d-9fe8-e5181e10b797</vt:lpwstr>
  </property>
  <property fmtid="{D5CDD505-2E9C-101B-9397-08002B2CF9AE}" pid="6" name="DocHub_SecurityClassification">
    <vt:lpwstr>3;#For Official Use Only|11f6fb0b-52ce-4109-8f7f-521b2a62f692</vt:lpwstr>
  </property>
  <property fmtid="{D5CDD505-2E9C-101B-9397-08002B2CF9AE}" pid="7" name="DocHub_Keywords">
    <vt:lpwstr/>
  </property>
  <property fmtid="{D5CDD505-2E9C-101B-9397-08002B2CF9AE}" pid="8" name="DocHub_WorkActivity">
    <vt:lpwstr>1743;#New Policy Proposal|dfa21a4b-16ef-47e4-8753-78acdbfce4d9</vt:lpwstr>
  </property>
  <property fmtid="{D5CDD505-2E9C-101B-9397-08002B2CF9AE}" pid="9" name="HPRMSecurityLevel">
    <vt:lpwstr>1;#UNCLASSIFIED|9c49a7c7-17c7-412f-8077-62dec89b9196</vt:lpwstr>
  </property>
  <property fmtid="{D5CDD505-2E9C-101B-9397-08002B2CF9AE}" pid="10" name="ESearchTags">
    <vt:lpwstr/>
  </property>
  <property fmtid="{D5CDD505-2E9C-101B-9397-08002B2CF9AE}" pid="11" name="HPRMSecurityCaveat">
    <vt:lpwstr/>
  </property>
  <property fmtid="{D5CDD505-2E9C-101B-9397-08002B2CF9AE}" pid="12" name="PMC.ESearch.TagGeneratedTime">
    <vt:lpwstr>2019-10-31T10:03:57</vt:lpwstr>
  </property>
</Properties>
</file>